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EA" w:rsidRPr="007A4839" w:rsidRDefault="007A4839" w:rsidP="0094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line="276" w:lineRule="auto"/>
        <w:ind w:left="1418" w:hanging="1418"/>
        <w:jc w:val="both"/>
        <w:rPr>
          <w:rFonts w:cs="Calibri"/>
          <w:b/>
          <w:sz w:val="28"/>
          <w:szCs w:val="20"/>
        </w:rPr>
      </w:pPr>
      <w:r w:rsidRPr="007A4839">
        <w:rPr>
          <w:rFonts w:cs="Calibri"/>
          <w:b/>
          <w:sz w:val="28"/>
          <w:szCs w:val="20"/>
        </w:rPr>
        <w:t>SCOREBOARD CRITERIA AND CLARIFCATIONS</w:t>
      </w:r>
    </w:p>
    <w:p w:rsidR="007A4839" w:rsidRDefault="007A4839" w:rsidP="007A483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Date: 1</w:t>
      </w:r>
      <w:r w:rsidR="00EB70B5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 xml:space="preserve"> September 2015</w:t>
      </w:r>
    </w:p>
    <w:p w:rsidR="007A4839" w:rsidRDefault="007A4839" w:rsidP="007A4839">
      <w:pPr>
        <w:rPr>
          <w:rFonts w:asciiTheme="minorHAnsi" w:hAnsiTheme="minorHAnsi"/>
          <w:b/>
        </w:rPr>
      </w:pPr>
    </w:p>
    <w:p w:rsidR="00161F98" w:rsidRPr="00161F98" w:rsidRDefault="00161F98" w:rsidP="00161F98">
      <w:pPr>
        <w:spacing w:line="276" w:lineRule="auto"/>
        <w:jc w:val="both"/>
        <w:rPr>
          <w:rFonts w:cs="Calibri"/>
        </w:rPr>
      </w:pPr>
      <w:r w:rsidRPr="00161F98">
        <w:rPr>
          <w:rFonts w:cs="Calibri"/>
        </w:rPr>
        <w:t xml:space="preserve">The scoreboard will be organised by </w:t>
      </w:r>
      <w:proofErr w:type="gramStart"/>
      <w:r w:rsidRPr="00161F98">
        <w:rPr>
          <w:rFonts w:cs="Calibri"/>
        </w:rPr>
        <w:t>7</w:t>
      </w:r>
      <w:r w:rsidRPr="00161F98">
        <w:rPr>
          <w:rFonts w:cs="Calibri"/>
          <w:vertAlign w:val="superscript"/>
        </w:rPr>
        <w:t>th</w:t>
      </w:r>
      <w:proofErr w:type="gramEnd"/>
      <w:r w:rsidRPr="00161F98">
        <w:rPr>
          <w:rFonts w:cs="Calibri"/>
        </w:rPr>
        <w:t xml:space="preserve"> EAP Priority Objective </w:t>
      </w:r>
      <w:r>
        <w:rPr>
          <w:rFonts w:cs="Calibri"/>
        </w:rPr>
        <w:t xml:space="preserve">(PO) (NB. </w:t>
      </w:r>
      <w:r w:rsidR="0065620D">
        <w:rPr>
          <w:rFonts w:cs="Calibri"/>
        </w:rPr>
        <w:t>O</w:t>
      </w:r>
      <w:r w:rsidRPr="00161F98">
        <w:rPr>
          <w:rFonts w:cs="Calibri"/>
        </w:rPr>
        <w:t xml:space="preserve">nly the first </w:t>
      </w:r>
      <w:proofErr w:type="gramStart"/>
      <w:r w:rsidRPr="00161F98">
        <w:rPr>
          <w:rFonts w:cs="Calibri"/>
        </w:rPr>
        <w:t>3</w:t>
      </w:r>
      <w:proofErr w:type="gramEnd"/>
      <w:r w:rsidRPr="00161F98">
        <w:rPr>
          <w:rFonts w:cs="Calibri"/>
        </w:rPr>
        <w:t xml:space="preserve"> POs</w:t>
      </w:r>
      <w:r w:rsidR="0065620D">
        <w:rPr>
          <w:rFonts w:cs="Calibri"/>
        </w:rPr>
        <w:t xml:space="preserve"> will be included</w:t>
      </w:r>
      <w:r w:rsidRPr="00161F98">
        <w:rPr>
          <w:rFonts w:cs="Calibri"/>
        </w:rPr>
        <w:t xml:space="preserve">). Under each </w:t>
      </w:r>
      <w:proofErr w:type="gramStart"/>
      <w:r w:rsidRPr="00161F98">
        <w:rPr>
          <w:rFonts w:cs="Calibri"/>
        </w:rPr>
        <w:t>PO</w:t>
      </w:r>
      <w:proofErr w:type="gramEnd"/>
      <w:r w:rsidRPr="00161F98">
        <w:rPr>
          <w:rFonts w:cs="Calibri"/>
        </w:rPr>
        <w:t xml:space="preserve"> there will be one line by indicator showing </w:t>
      </w:r>
      <w:r>
        <w:rPr>
          <w:rFonts w:cs="Calibri"/>
        </w:rPr>
        <w:t>the following and in the following order.</w:t>
      </w:r>
      <w:r w:rsidRPr="00161F98">
        <w:rPr>
          <w:rFonts w:cs="Calibri"/>
        </w:rPr>
        <w:t xml:space="preserve"> </w:t>
      </w:r>
    </w:p>
    <w:p w:rsidR="00161F98" w:rsidRDefault="00161F98" w:rsidP="007A4839">
      <w:pPr>
        <w:rPr>
          <w:rFonts w:asciiTheme="minorHAnsi" w:hAnsiTheme="minorHAnsi"/>
          <w:b/>
        </w:rPr>
      </w:pPr>
    </w:p>
    <w:p w:rsidR="00913DB4" w:rsidRDefault="007A4839" w:rsidP="007A483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Indicator title. </w:t>
      </w:r>
      <w:r w:rsidRPr="00111A6F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title of the indicator as it appears on </w:t>
      </w:r>
      <w:r w:rsidR="00E92014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indicator owner’s</w:t>
      </w:r>
      <w:r w:rsidR="00374294">
        <w:rPr>
          <w:rFonts w:asciiTheme="minorHAnsi" w:hAnsiTheme="minorHAnsi"/>
        </w:rPr>
        <w:t xml:space="preserve"> (i.e. EEA) </w:t>
      </w:r>
      <w:r>
        <w:rPr>
          <w:rFonts w:asciiTheme="minorHAnsi" w:hAnsiTheme="minorHAnsi"/>
        </w:rPr>
        <w:t xml:space="preserve">site. </w:t>
      </w:r>
    </w:p>
    <w:p w:rsidR="00913DB4" w:rsidRDefault="00913DB4" w:rsidP="007A4839">
      <w:pPr>
        <w:rPr>
          <w:rFonts w:asciiTheme="minorHAnsi" w:hAnsiTheme="minorHAnsi"/>
          <w:b/>
        </w:rPr>
      </w:pPr>
    </w:p>
    <w:p w:rsidR="007A4839" w:rsidRPr="00431F5B" w:rsidRDefault="007A4839" w:rsidP="007A4839">
      <w:r w:rsidRPr="00756DE3">
        <w:rPr>
          <w:rFonts w:asciiTheme="minorHAnsi" w:hAnsiTheme="minorHAnsi"/>
          <w:b/>
        </w:rPr>
        <w:t>Historic trend.</w:t>
      </w:r>
      <w:r>
        <w:rPr>
          <w:rFonts w:asciiTheme="minorHAnsi" w:hAnsiTheme="minorHAnsi"/>
        </w:rPr>
        <w:t xml:space="preserve"> ↑: upwards change, ↓: downwards change, →: no change or not statistically significant change. Trend shown in the indicator based on the indicator’s time series. I.e. base year and most recent year differ from indicator to indicator. </w:t>
      </w:r>
      <w:proofErr w:type="gramStart"/>
      <w:r>
        <w:rPr>
          <w:rFonts w:asciiTheme="minorHAnsi" w:hAnsiTheme="minorHAnsi"/>
        </w:rPr>
        <w:t xml:space="preserve">In cases where it is not easy to see the trend, the DEFRA ‘3% rule of thumb’ method should be used unless the responsible EEA thematic expert </w:t>
      </w:r>
      <w:r w:rsidR="00F33BC0">
        <w:rPr>
          <w:rFonts w:asciiTheme="minorHAnsi" w:hAnsiTheme="minorHAnsi"/>
        </w:rPr>
        <w:t xml:space="preserve">is </w:t>
      </w:r>
      <w:r w:rsidR="00B77F93">
        <w:rPr>
          <w:rFonts w:asciiTheme="minorHAnsi" w:hAnsiTheme="minorHAnsi"/>
        </w:rPr>
        <w:t xml:space="preserve">already </w:t>
      </w:r>
      <w:r>
        <w:rPr>
          <w:rFonts w:asciiTheme="minorHAnsi" w:hAnsiTheme="minorHAnsi"/>
        </w:rPr>
        <w:t>us</w:t>
      </w:r>
      <w:r w:rsidR="00F33BC0">
        <w:rPr>
          <w:rFonts w:asciiTheme="minorHAnsi" w:hAnsiTheme="minorHAnsi"/>
        </w:rPr>
        <w:t>ing</w:t>
      </w:r>
      <w:r>
        <w:rPr>
          <w:rFonts w:asciiTheme="minorHAnsi" w:hAnsiTheme="minorHAnsi"/>
        </w:rPr>
        <w:t xml:space="preserve"> </w:t>
      </w:r>
      <w:r w:rsidR="00B77F93">
        <w:rPr>
          <w:rFonts w:asciiTheme="minorHAnsi" w:hAnsiTheme="minorHAnsi"/>
        </w:rPr>
        <w:t xml:space="preserve">in the EEA indicator </w:t>
      </w:r>
      <w:r>
        <w:rPr>
          <w:rFonts w:asciiTheme="minorHAnsi" w:hAnsiTheme="minorHAnsi"/>
        </w:rPr>
        <w:t>a statistically more appropriate</w:t>
      </w:r>
      <w:r w:rsidR="0065620D">
        <w:rPr>
          <w:rFonts w:asciiTheme="minorHAnsi" w:hAnsiTheme="minorHAnsi"/>
        </w:rPr>
        <w:t xml:space="preserve"> method</w:t>
      </w:r>
      <w:r>
        <w:rPr>
          <w:rFonts w:asciiTheme="minorHAnsi" w:hAnsiTheme="minorHAnsi"/>
        </w:rPr>
        <w:t xml:space="preserve"> for the specific thematic area</w:t>
      </w:r>
      <w:r w:rsidR="0065620D" w:rsidRPr="006562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- in which case this method would have to be </w:t>
      </w:r>
      <w:r w:rsidR="00F33BC0">
        <w:rPr>
          <w:rFonts w:asciiTheme="minorHAnsi" w:hAnsiTheme="minorHAnsi"/>
        </w:rPr>
        <w:t>explained/</w:t>
      </w:r>
      <w:r>
        <w:rPr>
          <w:rFonts w:asciiTheme="minorHAnsi" w:hAnsiTheme="minorHAnsi"/>
        </w:rPr>
        <w:t>documented by the responsible EEA thematic expert.</w:t>
      </w:r>
      <w:proofErr w:type="gramEnd"/>
      <w:r>
        <w:rPr>
          <w:rFonts w:asciiTheme="minorHAnsi" w:hAnsiTheme="minorHAnsi"/>
        </w:rPr>
        <w:t xml:space="preserve"> </w:t>
      </w:r>
      <w:r w:rsidRPr="00431F5B">
        <w:t xml:space="preserve">DEFRA </w:t>
      </w:r>
      <w:r>
        <w:t>(</w:t>
      </w:r>
      <w:hyperlink r:id="rId7" w:history="1">
        <w:r w:rsidRPr="00431F5B">
          <w:rPr>
            <w:rStyle w:val="Hyperlink"/>
          </w:rPr>
          <w:t>https://www.gov.uk/government/uploads/system/uploads/attachment_data/file/223992/0_SDIs_final__2_.pdf</w:t>
        </w:r>
      </w:hyperlink>
      <w:r>
        <w:t xml:space="preserve">, </w:t>
      </w:r>
      <w:r w:rsidR="00B77F93">
        <w:t>(</w:t>
      </w:r>
      <w:r>
        <w:t>pages 6-8)</w:t>
      </w:r>
      <w:r w:rsidRPr="00431F5B">
        <w:t xml:space="preserve"> compares the difference between the value of the measure in the base </w:t>
      </w:r>
      <w:r>
        <w:t xml:space="preserve">and </w:t>
      </w:r>
      <w:r w:rsidRPr="00431F5B">
        <w:t>in the end year</w:t>
      </w:r>
      <w:r>
        <w:t>s</w:t>
      </w:r>
      <w:r w:rsidRPr="00431F5B">
        <w:t xml:space="preserve"> against the </w:t>
      </w:r>
      <w:r>
        <w:t>‘</w:t>
      </w:r>
      <w:r w:rsidRPr="00431F5B">
        <w:t>3% rule of thumb</w:t>
      </w:r>
      <w:r>
        <w:t>’</w:t>
      </w:r>
      <w:r w:rsidRPr="00431F5B">
        <w:t xml:space="preserve">. A change of more than a 3% signifies </w:t>
      </w:r>
      <w:r w:rsidRPr="0054417B">
        <w:t>change</w:t>
      </w:r>
      <w:r w:rsidRPr="00431F5B">
        <w:t xml:space="preserve"> (↑ or ↓)</w:t>
      </w:r>
      <w:proofErr w:type="gramStart"/>
      <w:r w:rsidRPr="00431F5B">
        <w:t>,</w:t>
      </w:r>
      <w:proofErr w:type="gramEnd"/>
      <w:r w:rsidRPr="00431F5B">
        <w:t xml:space="preserve"> a change of less than a 3 % </w:t>
      </w:r>
      <w:r>
        <w:t xml:space="preserve">signifies </w:t>
      </w:r>
      <w:r w:rsidRPr="00431F5B">
        <w:t>no overall change (→).</w:t>
      </w:r>
      <w:r>
        <w:t xml:space="preserve"> In the exceptional cases where the DEFRA ‘rule of thumb’ was not used</w:t>
      </w:r>
      <w:r w:rsidR="0054417B">
        <w:t xml:space="preserve"> – see text just above</w:t>
      </w:r>
      <w:r>
        <w:t xml:space="preserve">, the </w:t>
      </w:r>
      <w:r w:rsidRPr="00431F5B">
        <w:t>→</w:t>
      </w:r>
      <w:r>
        <w:t xml:space="preserve"> </w:t>
      </w:r>
      <w:r w:rsidRPr="00431F5B">
        <w:t xml:space="preserve">trend in the scoreboard </w:t>
      </w:r>
      <w:r>
        <w:t xml:space="preserve">could also </w:t>
      </w:r>
      <w:r w:rsidRPr="00431F5B">
        <w:t xml:space="preserve">mean that </w:t>
      </w:r>
      <w:r>
        <w:t>there is statistical inconsistency of the trend overtime (observed trend has evolved in a rather volatile way)</w:t>
      </w:r>
      <w:r w:rsidRPr="00431F5B">
        <w:t>.</w:t>
      </w:r>
    </w:p>
    <w:p w:rsidR="00913DB4" w:rsidRDefault="00913DB4" w:rsidP="007A4839">
      <w:pPr>
        <w:rPr>
          <w:rFonts w:asciiTheme="minorHAnsi" w:hAnsiTheme="minorHAnsi"/>
          <w:b/>
        </w:rPr>
      </w:pPr>
    </w:p>
    <w:p w:rsidR="007A4839" w:rsidRDefault="000922D2" w:rsidP="007A483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Change </w:t>
      </w:r>
      <w:r w:rsidR="00F33BC0">
        <w:rPr>
          <w:rFonts w:asciiTheme="minorHAnsi" w:hAnsiTheme="minorHAnsi"/>
          <w:b/>
        </w:rPr>
        <w:t xml:space="preserve">since 2014 </w:t>
      </w:r>
      <w:r w:rsidR="007A4839">
        <w:rPr>
          <w:rFonts w:asciiTheme="minorHAnsi" w:hAnsiTheme="minorHAnsi"/>
        </w:rPr>
        <w:t xml:space="preserve">↑: upwards change, ↓: downwards change, →: no change. Shows the direction of change in data from 2014 onwards, i.e. since the </w:t>
      </w:r>
      <w:proofErr w:type="gramStart"/>
      <w:r w:rsidR="007A4839">
        <w:rPr>
          <w:rFonts w:asciiTheme="minorHAnsi" w:hAnsiTheme="minorHAnsi"/>
        </w:rPr>
        <w:t>7</w:t>
      </w:r>
      <w:r w:rsidR="007A4839" w:rsidRPr="00717976">
        <w:rPr>
          <w:rFonts w:asciiTheme="minorHAnsi" w:hAnsiTheme="minorHAnsi"/>
          <w:vertAlign w:val="superscript"/>
        </w:rPr>
        <w:t>th</w:t>
      </w:r>
      <w:proofErr w:type="gramEnd"/>
      <w:r w:rsidR="007A4839">
        <w:rPr>
          <w:rFonts w:asciiTheme="minorHAnsi" w:hAnsiTheme="minorHAnsi"/>
        </w:rPr>
        <w:t xml:space="preserve"> EAP came into force.</w:t>
      </w:r>
      <w:r>
        <w:rPr>
          <w:rFonts w:asciiTheme="minorHAnsi" w:hAnsiTheme="minorHAnsi"/>
        </w:rPr>
        <w:t xml:space="preserve"> The change in 2014 is the change from 2013 to 2014. In case of data availability beyond 2014 the DEFRA </w:t>
      </w:r>
      <w:r>
        <w:t>‘</w:t>
      </w:r>
      <w:r w:rsidRPr="00431F5B">
        <w:t>3% rule of thumb</w:t>
      </w:r>
      <w:r>
        <w:t xml:space="preserve">’ </w:t>
      </w:r>
      <w:proofErr w:type="gramStart"/>
      <w:r>
        <w:t>should be applied</w:t>
      </w:r>
      <w:proofErr w:type="gramEnd"/>
      <w:r>
        <w:t xml:space="preserve">. </w:t>
      </w:r>
      <w:r w:rsidR="007A4839">
        <w:rPr>
          <w:rFonts w:asciiTheme="minorHAnsi" w:hAnsiTheme="minorHAnsi"/>
        </w:rPr>
        <w:t>Data are not ‘normalised’, i.e. not cleaned up by e.g. weather influence</w:t>
      </w:r>
      <w:r w:rsidR="00F33BC0">
        <w:rPr>
          <w:rFonts w:asciiTheme="minorHAnsi" w:hAnsiTheme="minorHAnsi"/>
        </w:rPr>
        <w:t xml:space="preserve"> (N.B there </w:t>
      </w:r>
      <w:proofErr w:type="spellStart"/>
      <w:r w:rsidR="00F33BC0">
        <w:rPr>
          <w:rFonts w:asciiTheme="minorHAnsi" w:hAnsiTheme="minorHAnsi"/>
        </w:rPr>
        <w:t>maybe</w:t>
      </w:r>
      <w:proofErr w:type="spellEnd"/>
      <w:r w:rsidR="00F33BC0">
        <w:rPr>
          <w:rFonts w:asciiTheme="minorHAnsi" w:hAnsiTheme="minorHAnsi"/>
        </w:rPr>
        <w:t xml:space="preserve"> a case or two where </w:t>
      </w:r>
      <w:r>
        <w:rPr>
          <w:rFonts w:asciiTheme="minorHAnsi" w:hAnsiTheme="minorHAnsi"/>
        </w:rPr>
        <w:t xml:space="preserve">the data </w:t>
      </w:r>
      <w:r w:rsidR="00F33BC0">
        <w:rPr>
          <w:rFonts w:asciiTheme="minorHAnsi" w:hAnsiTheme="minorHAnsi"/>
        </w:rPr>
        <w:t>th</w:t>
      </w:r>
      <w:r>
        <w:rPr>
          <w:rFonts w:asciiTheme="minorHAnsi" w:hAnsiTheme="minorHAnsi"/>
        </w:rPr>
        <w:t xml:space="preserve">at we have, have already been normalised, </w:t>
      </w:r>
      <w:r w:rsidR="00F33BC0">
        <w:rPr>
          <w:rFonts w:asciiTheme="minorHAnsi" w:hAnsiTheme="minorHAnsi"/>
        </w:rPr>
        <w:t xml:space="preserve">in which case we </w:t>
      </w:r>
      <w:r w:rsidR="007A4F32">
        <w:rPr>
          <w:rFonts w:asciiTheme="minorHAnsi" w:hAnsiTheme="minorHAnsi"/>
        </w:rPr>
        <w:t xml:space="preserve">will </w:t>
      </w:r>
      <w:r w:rsidR="0054417B">
        <w:rPr>
          <w:rFonts w:asciiTheme="minorHAnsi" w:hAnsiTheme="minorHAnsi"/>
        </w:rPr>
        <w:t>have t</w:t>
      </w:r>
      <w:r>
        <w:rPr>
          <w:rFonts w:asciiTheme="minorHAnsi" w:hAnsiTheme="minorHAnsi"/>
        </w:rPr>
        <w:t>o li</w:t>
      </w:r>
      <w:r w:rsidR="00F33BC0">
        <w:rPr>
          <w:rFonts w:asciiTheme="minorHAnsi" w:hAnsiTheme="minorHAnsi"/>
        </w:rPr>
        <w:t xml:space="preserve">ve with </w:t>
      </w:r>
      <w:r>
        <w:rPr>
          <w:rFonts w:asciiTheme="minorHAnsi" w:hAnsiTheme="minorHAnsi"/>
        </w:rPr>
        <w:t xml:space="preserve">some </w:t>
      </w:r>
      <w:r w:rsidR="00F33BC0">
        <w:rPr>
          <w:rFonts w:asciiTheme="minorHAnsi" w:hAnsiTheme="minorHAnsi"/>
        </w:rPr>
        <w:t>inco</w:t>
      </w:r>
      <w:r w:rsidR="00736027">
        <w:rPr>
          <w:rFonts w:asciiTheme="minorHAnsi" w:hAnsiTheme="minorHAnsi"/>
        </w:rPr>
        <w:t>n</w:t>
      </w:r>
      <w:r w:rsidR="00F33BC0">
        <w:rPr>
          <w:rFonts w:asciiTheme="minorHAnsi" w:hAnsiTheme="minorHAnsi"/>
        </w:rPr>
        <w:t>sistencies</w:t>
      </w:r>
      <w:r w:rsidR="00736027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:rsidR="00913DB4" w:rsidRDefault="00913DB4" w:rsidP="007A4839">
      <w:pPr>
        <w:rPr>
          <w:rFonts w:asciiTheme="minorHAnsi" w:hAnsiTheme="minorHAnsi"/>
          <w:b/>
        </w:rPr>
      </w:pPr>
    </w:p>
    <w:p w:rsidR="000922D2" w:rsidRDefault="000922D2" w:rsidP="000922D2">
      <w:proofErr w:type="gramStart"/>
      <w:r>
        <w:rPr>
          <w:rFonts w:asciiTheme="minorHAnsi" w:hAnsiTheme="minorHAnsi"/>
          <w:b/>
        </w:rPr>
        <w:t>7</w:t>
      </w:r>
      <w:r w:rsidRPr="00111A6F">
        <w:rPr>
          <w:rFonts w:asciiTheme="minorHAnsi" w:hAnsiTheme="minorHAnsi"/>
          <w:b/>
          <w:vertAlign w:val="superscript"/>
        </w:rPr>
        <w:t>th</w:t>
      </w:r>
      <w:proofErr w:type="gramEnd"/>
      <w:r>
        <w:rPr>
          <w:rFonts w:asciiTheme="minorHAnsi" w:hAnsiTheme="minorHAnsi"/>
          <w:b/>
        </w:rPr>
        <w:t xml:space="preserve"> EAP</w:t>
      </w:r>
      <w:r w:rsidRPr="00756DE3">
        <w:rPr>
          <w:rFonts w:asciiTheme="minorHAnsi" w:hAnsiTheme="minorHAnsi"/>
          <w:b/>
        </w:rPr>
        <w:t xml:space="preserve"> </w:t>
      </w:r>
      <w:r w:rsidR="00161F98">
        <w:rPr>
          <w:rFonts w:asciiTheme="minorHAnsi" w:hAnsiTheme="minorHAnsi"/>
          <w:b/>
        </w:rPr>
        <w:t xml:space="preserve">selected </w:t>
      </w:r>
      <w:r>
        <w:rPr>
          <w:rFonts w:asciiTheme="minorHAnsi" w:hAnsiTheme="minorHAnsi"/>
          <w:b/>
        </w:rPr>
        <w:t xml:space="preserve">2020 </w:t>
      </w:r>
      <w:r w:rsidRPr="00756DE3">
        <w:rPr>
          <w:rFonts w:asciiTheme="minorHAnsi" w:hAnsiTheme="minorHAnsi"/>
          <w:b/>
        </w:rPr>
        <w:t>objective</w:t>
      </w:r>
      <w:r>
        <w:rPr>
          <w:rFonts w:asciiTheme="minorHAnsi" w:hAnsiTheme="minorHAnsi"/>
        </w:rPr>
        <w:t xml:space="preserve">. This is </w:t>
      </w:r>
      <w:r w:rsidR="002B0D1D">
        <w:rPr>
          <w:rFonts w:asciiTheme="minorHAnsi" w:hAnsiTheme="minorHAnsi"/>
        </w:rPr>
        <w:t xml:space="preserve">text (in form of an objective) from the </w:t>
      </w:r>
      <w:proofErr w:type="gramStart"/>
      <w:r w:rsidR="002B0D1D">
        <w:rPr>
          <w:rFonts w:asciiTheme="minorHAnsi" w:hAnsiTheme="minorHAnsi"/>
        </w:rPr>
        <w:t>7</w:t>
      </w:r>
      <w:r w:rsidR="002B0D1D" w:rsidRPr="002B0D1D">
        <w:rPr>
          <w:rFonts w:asciiTheme="minorHAnsi" w:hAnsiTheme="minorHAnsi"/>
          <w:vertAlign w:val="superscript"/>
        </w:rPr>
        <w:t>th</w:t>
      </w:r>
      <w:proofErr w:type="gramEnd"/>
      <w:r w:rsidR="002B0D1D">
        <w:rPr>
          <w:rFonts w:asciiTheme="minorHAnsi" w:hAnsiTheme="minorHAnsi"/>
        </w:rPr>
        <w:t xml:space="preserve"> EAP Decision that corresponds to what </w:t>
      </w:r>
      <w:r w:rsidR="00C90A5A">
        <w:rPr>
          <w:rFonts w:asciiTheme="minorHAnsi" w:hAnsiTheme="minorHAnsi"/>
        </w:rPr>
        <w:t>can be addressed by</w:t>
      </w:r>
      <w:r w:rsidR="002B0D1D">
        <w:rPr>
          <w:rFonts w:asciiTheme="minorHAnsi" w:hAnsiTheme="minorHAnsi"/>
        </w:rPr>
        <w:t xml:space="preserve"> the indicator. This text is found </w:t>
      </w:r>
      <w:r w:rsidR="00C90A5A">
        <w:rPr>
          <w:rFonts w:asciiTheme="minorHAnsi" w:hAnsiTheme="minorHAnsi"/>
        </w:rPr>
        <w:t xml:space="preserve">in </w:t>
      </w:r>
      <w:r w:rsidRPr="00111A6F">
        <w:t xml:space="preserve">the </w:t>
      </w:r>
      <w:proofErr w:type="gramStart"/>
      <w:r w:rsidRPr="00111A6F">
        <w:t>7</w:t>
      </w:r>
      <w:r w:rsidRPr="00111A6F">
        <w:rPr>
          <w:vertAlign w:val="superscript"/>
        </w:rPr>
        <w:t>th</w:t>
      </w:r>
      <w:proofErr w:type="gramEnd"/>
      <w:r w:rsidR="0065620D">
        <w:t xml:space="preserve"> EAP D</w:t>
      </w:r>
      <w:r w:rsidRPr="00111A6F">
        <w:t xml:space="preserve">ecision </w:t>
      </w:r>
      <w:r>
        <w:t xml:space="preserve">under one of the </w:t>
      </w:r>
      <w:r w:rsidR="0065620D">
        <w:t xml:space="preserve">first three </w:t>
      </w:r>
      <w:r w:rsidRPr="00111A6F">
        <w:t>7</w:t>
      </w:r>
      <w:r w:rsidRPr="00111A6F">
        <w:rPr>
          <w:vertAlign w:val="superscript"/>
        </w:rPr>
        <w:t>th</w:t>
      </w:r>
      <w:r w:rsidR="0065620D">
        <w:t xml:space="preserve"> EAP Priority O</w:t>
      </w:r>
      <w:r w:rsidRPr="00111A6F">
        <w:t>bjectives</w:t>
      </w:r>
      <w:r w:rsidR="00C90A5A">
        <w:t xml:space="preserve">. More specifically it </w:t>
      </w:r>
      <w:proofErr w:type="gramStart"/>
      <w:r w:rsidR="00C90A5A">
        <w:t>is found</w:t>
      </w:r>
      <w:proofErr w:type="gramEnd"/>
      <w:r w:rsidR="00C90A5A">
        <w:t xml:space="preserve"> in paragraphs 28 (for PO1), 43 (for PO2) and 54 (for PO3)</w:t>
      </w:r>
      <w:r w:rsidR="00302C3B">
        <w:t xml:space="preserve"> of the 7</w:t>
      </w:r>
      <w:r w:rsidR="00302C3B" w:rsidRPr="00302C3B">
        <w:rPr>
          <w:vertAlign w:val="superscript"/>
        </w:rPr>
        <w:t>th</w:t>
      </w:r>
      <w:r w:rsidR="00302C3B">
        <w:t xml:space="preserve"> EAP Decision</w:t>
      </w:r>
      <w:r>
        <w:t xml:space="preserve">. </w:t>
      </w:r>
      <w:r w:rsidR="00303083">
        <w:t xml:space="preserve">Example: Outdoor air quality significantly improved moving closer to WHO recommended levels. </w:t>
      </w:r>
      <w:r w:rsidR="00302C3B">
        <w:t xml:space="preserve">The EEA will indicate which text to </w:t>
      </w:r>
      <w:proofErr w:type="gramStart"/>
      <w:r w:rsidR="00302C3B">
        <w:t>be used</w:t>
      </w:r>
      <w:proofErr w:type="gramEnd"/>
      <w:r w:rsidR="00302C3B">
        <w:t xml:space="preserve"> for each of the indicators</w:t>
      </w:r>
      <w:r w:rsidRPr="00111A6F">
        <w:t>.</w:t>
      </w:r>
    </w:p>
    <w:p w:rsidR="000922D2" w:rsidRDefault="000922D2" w:rsidP="007A4839">
      <w:pPr>
        <w:rPr>
          <w:rFonts w:asciiTheme="minorHAnsi" w:hAnsiTheme="minorHAnsi"/>
          <w:b/>
        </w:rPr>
      </w:pPr>
    </w:p>
    <w:p w:rsidR="00161F98" w:rsidRDefault="00161F98" w:rsidP="007A483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Environmental acquis selected 2020 objective.</w:t>
      </w:r>
      <w:r>
        <w:rPr>
          <w:rFonts w:asciiTheme="minorHAnsi" w:hAnsiTheme="minorHAnsi"/>
        </w:rPr>
        <w:t xml:space="preserve"> This shows the selected </w:t>
      </w:r>
      <w:r w:rsidR="00302C3B">
        <w:rPr>
          <w:rFonts w:asciiTheme="minorHAnsi" w:hAnsiTheme="minorHAnsi"/>
        </w:rPr>
        <w:t xml:space="preserve">corresponding </w:t>
      </w:r>
      <w:r>
        <w:rPr>
          <w:rFonts w:asciiTheme="minorHAnsi" w:hAnsiTheme="minorHAnsi"/>
        </w:rPr>
        <w:t>target or directional objective that relates to the indicator and originates from the environmental acquis</w:t>
      </w:r>
      <w:r w:rsidR="00303083">
        <w:rPr>
          <w:rFonts w:asciiTheme="minorHAnsi" w:hAnsiTheme="minorHAnsi"/>
        </w:rPr>
        <w:t xml:space="preserve"> (e.g. from EU Directives, Communications, Roadmaps, Green/White papers)</w:t>
      </w:r>
      <w:r>
        <w:rPr>
          <w:rFonts w:asciiTheme="minorHAnsi" w:hAnsiTheme="minorHAnsi"/>
        </w:rPr>
        <w:t xml:space="preserve">. </w:t>
      </w:r>
      <w:r w:rsidR="00303083">
        <w:rPr>
          <w:rFonts w:asciiTheme="minorHAnsi" w:hAnsiTheme="minorHAnsi"/>
        </w:rPr>
        <w:t xml:space="preserve">Example: Increase share of renewable energies in final energy consumption to 20%. </w:t>
      </w:r>
      <w:r w:rsidR="0065620D">
        <w:t xml:space="preserve">The EEA will indicate the target or directional objective to use. </w:t>
      </w:r>
    </w:p>
    <w:p w:rsidR="00161F98" w:rsidRDefault="00161F98" w:rsidP="007A4839">
      <w:pPr>
        <w:rPr>
          <w:rFonts w:asciiTheme="minorHAnsi" w:hAnsiTheme="minorHAnsi"/>
          <w:b/>
        </w:rPr>
      </w:pPr>
    </w:p>
    <w:p w:rsidR="002B0D1D" w:rsidRDefault="008F21B5" w:rsidP="0069693F">
      <w:pPr>
        <w:rPr>
          <w:rFonts w:cs="Calibri"/>
        </w:rPr>
      </w:pPr>
      <w:r>
        <w:rPr>
          <w:rFonts w:asciiTheme="minorHAnsi" w:hAnsiTheme="minorHAnsi"/>
          <w:b/>
        </w:rPr>
        <w:t xml:space="preserve">Outlook towards </w:t>
      </w:r>
      <w:r w:rsidR="007A4839" w:rsidRPr="00756DE3">
        <w:rPr>
          <w:rFonts w:asciiTheme="minorHAnsi" w:hAnsiTheme="minorHAnsi"/>
          <w:b/>
        </w:rPr>
        <w:t>2020</w:t>
      </w:r>
      <w:r w:rsidR="007A4839" w:rsidRPr="00756DE3">
        <w:rPr>
          <w:rFonts w:asciiTheme="minorHAnsi" w:hAnsiTheme="minorHAnsi"/>
        </w:rPr>
        <w:t xml:space="preserve">. Green: there is a clear expectation that the </w:t>
      </w:r>
      <w:r w:rsidR="0069693F">
        <w:rPr>
          <w:rFonts w:asciiTheme="minorHAnsi" w:hAnsiTheme="minorHAnsi"/>
        </w:rPr>
        <w:t xml:space="preserve">objective </w:t>
      </w:r>
      <w:proofErr w:type="gramStart"/>
      <w:r w:rsidR="007A4839" w:rsidRPr="00756DE3">
        <w:rPr>
          <w:rFonts w:asciiTheme="minorHAnsi" w:hAnsiTheme="minorHAnsi"/>
        </w:rPr>
        <w:t>will be met</w:t>
      </w:r>
      <w:proofErr w:type="gramEnd"/>
      <w:r w:rsidR="007A4839" w:rsidRPr="00756DE3">
        <w:rPr>
          <w:rFonts w:asciiTheme="minorHAnsi" w:hAnsiTheme="minorHAnsi"/>
        </w:rPr>
        <w:t xml:space="preserve">. Yellow: It is unclear as to whether the </w:t>
      </w:r>
      <w:r w:rsidR="0069693F">
        <w:rPr>
          <w:rFonts w:asciiTheme="minorHAnsi" w:hAnsiTheme="minorHAnsi"/>
        </w:rPr>
        <w:t xml:space="preserve">objective </w:t>
      </w:r>
      <w:proofErr w:type="gramStart"/>
      <w:r w:rsidR="007A4839" w:rsidRPr="00756DE3">
        <w:rPr>
          <w:rFonts w:asciiTheme="minorHAnsi" w:hAnsiTheme="minorHAnsi"/>
        </w:rPr>
        <w:t>will be met</w:t>
      </w:r>
      <w:proofErr w:type="gramEnd"/>
      <w:r w:rsidR="007A4839" w:rsidRPr="00756DE3">
        <w:rPr>
          <w:rFonts w:asciiTheme="minorHAnsi" w:hAnsiTheme="minorHAnsi"/>
        </w:rPr>
        <w:t xml:space="preserve">. Red: there is a clear expectation that the </w:t>
      </w:r>
      <w:r w:rsidR="0069693F">
        <w:rPr>
          <w:rFonts w:asciiTheme="minorHAnsi" w:hAnsiTheme="minorHAnsi"/>
        </w:rPr>
        <w:t xml:space="preserve">objective </w:t>
      </w:r>
      <w:proofErr w:type="gramStart"/>
      <w:r w:rsidR="0069693F">
        <w:rPr>
          <w:rFonts w:asciiTheme="minorHAnsi" w:hAnsiTheme="minorHAnsi"/>
        </w:rPr>
        <w:t>w</w:t>
      </w:r>
      <w:r w:rsidR="007A4839" w:rsidRPr="00756DE3">
        <w:rPr>
          <w:rFonts w:asciiTheme="minorHAnsi" w:hAnsiTheme="minorHAnsi"/>
        </w:rPr>
        <w:t xml:space="preserve">ill </w:t>
      </w:r>
      <w:r w:rsidR="007A4839">
        <w:rPr>
          <w:rFonts w:asciiTheme="minorHAnsi" w:hAnsiTheme="minorHAnsi"/>
        </w:rPr>
        <w:t xml:space="preserve">not </w:t>
      </w:r>
      <w:r w:rsidR="007A4839" w:rsidRPr="00756DE3">
        <w:rPr>
          <w:rFonts w:asciiTheme="minorHAnsi" w:hAnsiTheme="minorHAnsi"/>
        </w:rPr>
        <w:t>be met</w:t>
      </w:r>
      <w:proofErr w:type="gramEnd"/>
      <w:r w:rsidR="007A4839" w:rsidRPr="00756DE3">
        <w:rPr>
          <w:rFonts w:asciiTheme="minorHAnsi" w:hAnsiTheme="minorHAnsi"/>
        </w:rPr>
        <w:t xml:space="preserve">. </w:t>
      </w:r>
      <w:r w:rsidR="007A4839" w:rsidRPr="00DF63D2">
        <w:t>The assessment should be based on (1) indicator based trends as observed over the past years; (2) distance to target assessments (where available); (3) modelled estimates of future developments (where available); alongside (4) expert consideration of the effects of EU policies currently in place and drivers of global change.</w:t>
      </w:r>
      <w:r w:rsidR="0069693F">
        <w:t xml:space="preserve"> </w:t>
      </w:r>
      <w:r w:rsidR="002B0D1D" w:rsidRPr="00161F98">
        <w:rPr>
          <w:rFonts w:cs="Calibri"/>
        </w:rPr>
        <w:t xml:space="preserve"> </w:t>
      </w:r>
    </w:p>
    <w:p w:rsidR="00374294" w:rsidRDefault="00374294" w:rsidP="0069693F">
      <w:pPr>
        <w:rPr>
          <w:rFonts w:cs="Calibri"/>
        </w:rPr>
      </w:pPr>
    </w:p>
    <w:p w:rsidR="00374294" w:rsidRDefault="00374294" w:rsidP="0069693F">
      <w:pPr>
        <w:rPr>
          <w:rFonts w:cs="Calibri"/>
        </w:rPr>
      </w:pPr>
      <w:r>
        <w:rPr>
          <w:rFonts w:cs="Calibri"/>
        </w:rPr>
        <w:t xml:space="preserve">In those cases where there is not a </w:t>
      </w:r>
      <w:r>
        <w:rPr>
          <w:rFonts w:asciiTheme="minorHAnsi" w:hAnsiTheme="minorHAnsi"/>
        </w:rPr>
        <w:t>selected corresponding target/directional objective from the environmental acquis</w:t>
      </w:r>
      <w:r>
        <w:rPr>
          <w:rFonts w:cs="Calibri"/>
        </w:rPr>
        <w:t xml:space="preserve"> or that it is not possible to determine the historic trend, the change since 2014 or the outlook towards 2020, the </w:t>
      </w:r>
      <w:proofErr w:type="spellStart"/>
      <w:r>
        <w:rPr>
          <w:rFonts w:cs="Calibri"/>
        </w:rPr>
        <w:t>n.a</w:t>
      </w:r>
      <w:proofErr w:type="spellEnd"/>
      <w:r>
        <w:rPr>
          <w:rFonts w:cs="Calibri"/>
        </w:rPr>
        <w:t xml:space="preserve">. (for </w:t>
      </w:r>
      <w:proofErr w:type="spellStart"/>
      <w:r>
        <w:rPr>
          <w:rFonts w:cs="Calibri"/>
        </w:rPr>
        <w:t>non applicable</w:t>
      </w:r>
      <w:proofErr w:type="spellEnd"/>
      <w:r>
        <w:rPr>
          <w:rFonts w:cs="Calibri"/>
        </w:rPr>
        <w:t xml:space="preserve">) symbol will be used.  </w:t>
      </w:r>
    </w:p>
    <w:p w:rsidR="007E5A88" w:rsidRDefault="007E5A88" w:rsidP="0069693F">
      <w:pPr>
        <w:rPr>
          <w:rFonts w:cs="Calibri"/>
        </w:rPr>
      </w:pPr>
    </w:p>
    <w:p w:rsidR="007E5A88" w:rsidRPr="00161F98" w:rsidRDefault="007E5A88" w:rsidP="0069693F">
      <w:pPr>
        <w:rPr>
          <w:rFonts w:cs="Calibri"/>
        </w:rPr>
      </w:pPr>
      <w:r>
        <w:rPr>
          <w:rFonts w:cs="Calibri"/>
        </w:rPr>
        <w:t>The geographical scope of the scoreboard is EU-28.</w:t>
      </w:r>
    </w:p>
    <w:sectPr w:rsidR="007E5A88" w:rsidRPr="00161F98" w:rsidSect="00D3221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4A" w:rsidRDefault="0073294A" w:rsidP="00EE57EA">
      <w:r>
        <w:separator/>
      </w:r>
    </w:p>
  </w:endnote>
  <w:endnote w:type="continuationSeparator" w:id="0">
    <w:p w:rsidR="0073294A" w:rsidRDefault="0073294A" w:rsidP="00EE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4A" w:rsidRDefault="0073294A" w:rsidP="00EE57EA">
      <w:r>
        <w:separator/>
      </w:r>
    </w:p>
  </w:footnote>
  <w:footnote w:type="continuationSeparator" w:id="0">
    <w:p w:rsidR="0073294A" w:rsidRDefault="0073294A" w:rsidP="00EE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A" w:rsidRPr="00AF293A" w:rsidRDefault="00EE57EA" w:rsidP="00EE57EA">
    <w:pPr>
      <w:pStyle w:val="Header"/>
      <w:rPr>
        <w:rFonts w:cs="Calibri"/>
        <w:b/>
        <w:color w:val="808080"/>
        <w:sz w:val="32"/>
        <w:szCs w:val="32"/>
      </w:rPr>
    </w:pPr>
    <w:r w:rsidRPr="00AF293A">
      <w:rPr>
        <w:rFonts w:cs="Calibri"/>
        <w:b/>
        <w:noProof/>
        <w:color w:val="808080"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5324475</wp:posOffset>
          </wp:positionH>
          <wp:positionV relativeFrom="page">
            <wp:posOffset>377825</wp:posOffset>
          </wp:positionV>
          <wp:extent cx="1842770" cy="470535"/>
          <wp:effectExtent l="0" t="0" r="0" b="0"/>
          <wp:wrapNone/>
          <wp:docPr id="1" name="Picture 1" descr="EE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color w:val="808080"/>
        <w:sz w:val="32"/>
        <w:szCs w:val="32"/>
      </w:rPr>
      <w:t>AIRS</w:t>
    </w:r>
    <w:r w:rsidRPr="00AF293A">
      <w:rPr>
        <w:rFonts w:cs="Calibri"/>
        <w:b/>
        <w:color w:val="808080"/>
        <w:sz w:val="32"/>
        <w:szCs w:val="32"/>
      </w:rPr>
      <w:t xml:space="preserve"> </w:t>
    </w:r>
    <w:r w:rsidR="00263AC9">
      <w:rPr>
        <w:rFonts w:cs="Calibri"/>
        <w:b/>
        <w:color w:val="808080"/>
        <w:sz w:val="32"/>
        <w:szCs w:val="32"/>
      </w:rPr>
      <w:t>(Annual Indicator Report Series)</w:t>
    </w:r>
  </w:p>
  <w:p w:rsidR="00EE57EA" w:rsidRPr="00AF293A" w:rsidRDefault="00EE57EA" w:rsidP="00EE57EA">
    <w:pPr>
      <w:pStyle w:val="Header"/>
      <w:rPr>
        <w:rFonts w:cs="Calibri"/>
        <w:b/>
        <w:color w:val="808080"/>
        <w:sz w:val="32"/>
        <w:szCs w:val="32"/>
      </w:rPr>
    </w:pPr>
  </w:p>
  <w:p w:rsidR="00EE57EA" w:rsidRDefault="00EE5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942"/>
    <w:multiLevelType w:val="hybridMultilevel"/>
    <w:tmpl w:val="E94A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D2F00"/>
    <w:multiLevelType w:val="hybridMultilevel"/>
    <w:tmpl w:val="86A87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1BC"/>
    <w:multiLevelType w:val="hybridMultilevel"/>
    <w:tmpl w:val="F86E3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E4D1D"/>
    <w:multiLevelType w:val="hybridMultilevel"/>
    <w:tmpl w:val="7F58CDE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87234"/>
    <w:multiLevelType w:val="hybridMultilevel"/>
    <w:tmpl w:val="0DD04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72F5D"/>
    <w:multiLevelType w:val="hybridMultilevel"/>
    <w:tmpl w:val="5E8E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63317"/>
    <w:multiLevelType w:val="hybridMultilevel"/>
    <w:tmpl w:val="014AB558"/>
    <w:lvl w:ilvl="0" w:tplc="6800623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1123EF"/>
    <w:multiLevelType w:val="hybridMultilevel"/>
    <w:tmpl w:val="1B864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C5D30"/>
    <w:multiLevelType w:val="hybridMultilevel"/>
    <w:tmpl w:val="92BC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00020"/>
    <w:multiLevelType w:val="hybridMultilevel"/>
    <w:tmpl w:val="BD82BE7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76D56"/>
    <w:multiLevelType w:val="hybridMultilevel"/>
    <w:tmpl w:val="89C4A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32"/>
    <w:rsid w:val="0006604F"/>
    <w:rsid w:val="000922D2"/>
    <w:rsid w:val="000D242F"/>
    <w:rsid w:val="001544C6"/>
    <w:rsid w:val="00161F98"/>
    <w:rsid w:val="002002AA"/>
    <w:rsid w:val="002302B4"/>
    <w:rsid w:val="00263AC9"/>
    <w:rsid w:val="00294D1F"/>
    <w:rsid w:val="002B0D1D"/>
    <w:rsid w:val="00302C3B"/>
    <w:rsid w:val="00303083"/>
    <w:rsid w:val="00374294"/>
    <w:rsid w:val="003E7C36"/>
    <w:rsid w:val="004A0A7B"/>
    <w:rsid w:val="004F6B3B"/>
    <w:rsid w:val="0054417B"/>
    <w:rsid w:val="0062689D"/>
    <w:rsid w:val="00654949"/>
    <w:rsid w:val="0065620D"/>
    <w:rsid w:val="0069693F"/>
    <w:rsid w:val="006C569F"/>
    <w:rsid w:val="0073294A"/>
    <w:rsid w:val="00736027"/>
    <w:rsid w:val="007A4839"/>
    <w:rsid w:val="007A4F32"/>
    <w:rsid w:val="007A5CDC"/>
    <w:rsid w:val="007E3732"/>
    <w:rsid w:val="007E5A88"/>
    <w:rsid w:val="008E7ABE"/>
    <w:rsid w:val="008F21B5"/>
    <w:rsid w:val="00913DB4"/>
    <w:rsid w:val="009431EC"/>
    <w:rsid w:val="009C67EF"/>
    <w:rsid w:val="00B77F93"/>
    <w:rsid w:val="00BA4544"/>
    <w:rsid w:val="00BE6591"/>
    <w:rsid w:val="00C46DEB"/>
    <w:rsid w:val="00C90A5A"/>
    <w:rsid w:val="00CA542B"/>
    <w:rsid w:val="00D32217"/>
    <w:rsid w:val="00DF3C29"/>
    <w:rsid w:val="00E51AEB"/>
    <w:rsid w:val="00E71740"/>
    <w:rsid w:val="00E92014"/>
    <w:rsid w:val="00EB70B5"/>
    <w:rsid w:val="00EE57EA"/>
    <w:rsid w:val="00EF647E"/>
    <w:rsid w:val="00F33BC0"/>
    <w:rsid w:val="00F75E6E"/>
    <w:rsid w:val="00F81B9D"/>
    <w:rsid w:val="00FB027A"/>
    <w:rsid w:val="00F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2CBEE6-5007-46C3-A644-EE595D21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3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3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E57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7E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57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7E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C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839"/>
    <w:pPr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83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A48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A48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223992/0_SDIs_final__2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Aphrodite Mourelatou</dc:creator>
  <cp:keywords/>
  <dc:description/>
  <cp:lastModifiedBy>Aphrodite Mourelatou</cp:lastModifiedBy>
  <cp:revision>11</cp:revision>
  <cp:lastPrinted>2015-09-16T14:52:00Z</cp:lastPrinted>
  <dcterms:created xsi:type="dcterms:W3CDTF">2015-09-16T12:33:00Z</dcterms:created>
  <dcterms:modified xsi:type="dcterms:W3CDTF">2015-09-17T11:20:00Z</dcterms:modified>
</cp:coreProperties>
</file>