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91ACE" w14:textId="307F94F7" w:rsidR="005F1495" w:rsidRPr="00CB731B" w:rsidRDefault="005F1495" w:rsidP="005F1495">
      <w:pPr>
        <w:pStyle w:val="Text2"/>
        <w:ind w:left="0"/>
        <w:jc w:val="center"/>
        <w:outlineLvl w:val="0"/>
        <w:rPr>
          <w:rFonts w:asciiTheme="minorHAnsi" w:hAnsiTheme="minorHAnsi" w:cs="Arial"/>
          <w:b/>
          <w:sz w:val="22"/>
          <w:szCs w:val="22"/>
          <w:lang w:val="en-GB"/>
        </w:rPr>
      </w:pPr>
      <w:r w:rsidRPr="00CB731B">
        <w:rPr>
          <w:rFonts w:asciiTheme="minorHAnsi" w:hAnsiTheme="minorHAnsi" w:cs="Arial"/>
          <w:b/>
          <w:i/>
          <w:sz w:val="22"/>
          <w:szCs w:val="22"/>
          <w:lang w:val="en-GB"/>
        </w:rPr>
        <w:t xml:space="preserve">Framework contract for the </w:t>
      </w:r>
      <w:r w:rsidR="00EE7E02" w:rsidRPr="00CB731B">
        <w:rPr>
          <w:rFonts w:asciiTheme="minorHAnsi" w:hAnsiTheme="minorHAnsi" w:cs="Arial"/>
          <w:b/>
          <w:i/>
          <w:sz w:val="22"/>
          <w:szCs w:val="22"/>
          <w:lang w:val="en-GB"/>
        </w:rPr>
        <w:t xml:space="preserve">setting-up of the EEA </w:t>
      </w:r>
      <w:r w:rsidR="00781269">
        <w:rPr>
          <w:rFonts w:asciiTheme="minorHAnsi" w:hAnsiTheme="minorHAnsi" w:cs="Arial"/>
          <w:b/>
          <w:i/>
          <w:sz w:val="22"/>
          <w:szCs w:val="22"/>
          <w:lang w:val="en-GB"/>
        </w:rPr>
        <w:t>Competence based management system</w:t>
      </w:r>
      <w:r w:rsidR="003B289A">
        <w:rPr>
          <w:rFonts w:asciiTheme="minorHAnsi" w:hAnsiTheme="minorHAnsi" w:cs="Arial"/>
          <w:b/>
          <w:i/>
          <w:sz w:val="22"/>
          <w:szCs w:val="22"/>
          <w:lang w:val="en-GB"/>
        </w:rPr>
        <w:t xml:space="preserve"> – 3 lots: EEA Competency services (lot 1); 360° Assessments (lot 2); and ancillary HR-related services (lot 3)</w:t>
      </w:r>
    </w:p>
    <w:p w14:paraId="79C5FBC5" w14:textId="77777777" w:rsidR="005F1495" w:rsidRPr="00CB731B" w:rsidRDefault="005F1495" w:rsidP="005F1495">
      <w:pPr>
        <w:pStyle w:val="Text2"/>
        <w:spacing w:before="120" w:after="120"/>
        <w:ind w:left="0"/>
        <w:jc w:val="left"/>
        <w:rPr>
          <w:rFonts w:asciiTheme="minorHAnsi" w:hAnsiTheme="minorHAnsi" w:cs="Arial"/>
          <w:b/>
          <w:sz w:val="22"/>
          <w:szCs w:val="22"/>
          <w:lang w:val="en-GB"/>
        </w:rPr>
      </w:pPr>
      <w:r w:rsidRPr="00CB731B">
        <w:rPr>
          <w:rFonts w:asciiTheme="minorHAnsi" w:hAnsiTheme="minorHAnsi" w:cs="Arial"/>
          <w:b/>
          <w:sz w:val="22"/>
          <w:szCs w:val="22"/>
          <w:lang w:val="en-GB"/>
        </w:rPr>
        <w:t>Reference:</w:t>
      </w:r>
      <w:r w:rsidR="00EE7E02" w:rsidRPr="00CB731B">
        <w:rPr>
          <w:rFonts w:asciiTheme="minorHAnsi" w:hAnsiTheme="minorHAnsi" w:cs="Arial"/>
          <w:b/>
          <w:sz w:val="22"/>
          <w:szCs w:val="22"/>
          <w:lang w:val="en-GB"/>
        </w:rPr>
        <w:tab/>
        <w:t>Open call for tenders EEA/ADS/</w:t>
      </w:r>
      <w:r w:rsidR="003B289A">
        <w:rPr>
          <w:rFonts w:asciiTheme="minorHAnsi" w:hAnsiTheme="minorHAnsi" w:cs="Arial"/>
          <w:b/>
          <w:sz w:val="22"/>
          <w:szCs w:val="22"/>
          <w:lang w:val="en-GB"/>
        </w:rPr>
        <w:t>14/006</w:t>
      </w:r>
    </w:p>
    <w:p w14:paraId="3B58A87B" w14:textId="2EC20AFE" w:rsidR="005F1495" w:rsidRPr="00CB731B" w:rsidRDefault="005F1495" w:rsidP="005F1495">
      <w:pPr>
        <w:pStyle w:val="Text2"/>
        <w:spacing w:before="120" w:after="120"/>
        <w:ind w:left="0"/>
        <w:jc w:val="left"/>
        <w:outlineLvl w:val="0"/>
        <w:rPr>
          <w:rFonts w:asciiTheme="minorHAnsi" w:hAnsiTheme="minorHAnsi" w:cs="Arial"/>
          <w:b/>
          <w:sz w:val="22"/>
          <w:szCs w:val="22"/>
          <w:lang w:val="en-GB"/>
        </w:rPr>
      </w:pPr>
      <w:r w:rsidRPr="00CB731B">
        <w:rPr>
          <w:rFonts w:asciiTheme="minorHAnsi" w:hAnsiTheme="minorHAnsi" w:cs="Arial"/>
          <w:b/>
          <w:sz w:val="22"/>
          <w:szCs w:val="22"/>
          <w:lang w:val="en-GB"/>
        </w:rPr>
        <w:t>Closing date:</w:t>
      </w:r>
      <w:r w:rsidRPr="00CB731B">
        <w:rPr>
          <w:rFonts w:asciiTheme="minorHAnsi" w:hAnsiTheme="minorHAnsi" w:cs="Arial"/>
          <w:b/>
          <w:sz w:val="22"/>
          <w:szCs w:val="22"/>
          <w:lang w:val="en-GB"/>
        </w:rPr>
        <w:tab/>
      </w:r>
      <w:bookmarkStart w:id="0" w:name="_GoBack"/>
      <w:bookmarkEnd w:id="0"/>
      <w:r w:rsidR="00F75E7F" w:rsidRPr="007646AC">
        <w:rPr>
          <w:rFonts w:asciiTheme="minorHAnsi" w:hAnsiTheme="minorHAnsi" w:cs="Arial"/>
          <w:b/>
          <w:sz w:val="22"/>
          <w:szCs w:val="22"/>
          <w:highlight w:val="yellow"/>
          <w:lang w:val="en-GB"/>
        </w:rPr>
        <w:t>13</w:t>
      </w:r>
      <w:r w:rsidR="00B82DAE" w:rsidRPr="007646AC">
        <w:rPr>
          <w:rFonts w:asciiTheme="minorHAnsi" w:hAnsiTheme="minorHAnsi" w:cs="Arial"/>
          <w:b/>
          <w:sz w:val="22"/>
          <w:szCs w:val="22"/>
          <w:highlight w:val="yellow"/>
          <w:lang w:val="en-GB"/>
        </w:rPr>
        <w:t>.2.2015</w:t>
      </w:r>
    </w:p>
    <w:p w14:paraId="53445086" w14:textId="77777777" w:rsidR="005F1495" w:rsidRPr="00CB731B" w:rsidRDefault="005F1495" w:rsidP="005F1495">
      <w:pPr>
        <w:pStyle w:val="Text2"/>
        <w:ind w:left="0"/>
        <w:rPr>
          <w:rFonts w:asciiTheme="minorHAnsi" w:hAnsiTheme="minorHAnsi" w:cs="Arial"/>
          <w:sz w:val="22"/>
          <w:szCs w:val="22"/>
          <w:lang w:val="en-GB"/>
        </w:rPr>
      </w:pPr>
    </w:p>
    <w:p w14:paraId="7ED1F659" w14:textId="77777777" w:rsidR="005F1495" w:rsidRPr="00CB731B" w:rsidRDefault="005F1495" w:rsidP="005F1495">
      <w:pPr>
        <w:numPr>
          <w:ilvl w:val="0"/>
          <w:numId w:val="10"/>
        </w:numPr>
        <w:rPr>
          <w:rFonts w:asciiTheme="minorHAnsi" w:hAnsiTheme="minorHAnsi" w:cs="Arial"/>
          <w:b/>
          <w:sz w:val="22"/>
          <w:szCs w:val="22"/>
          <w:lang w:val="en-GB"/>
        </w:rPr>
      </w:pPr>
      <w:r w:rsidRPr="00CB731B">
        <w:rPr>
          <w:rFonts w:asciiTheme="minorHAnsi" w:hAnsiTheme="minorHAnsi" w:cs="Arial"/>
          <w:b/>
          <w:sz w:val="22"/>
          <w:szCs w:val="22"/>
          <w:lang w:val="en-GB"/>
        </w:rPr>
        <w:t>Introduction to EEA</w:t>
      </w:r>
    </w:p>
    <w:p w14:paraId="57E4B415" w14:textId="77777777"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The European Environment Agency (EEA) is a European Union public body governed by Regulation (EC) No 401/2009 of the European Parliament and of the Council of 23 April 2009</w:t>
      </w:r>
      <w:r w:rsidRPr="00CB731B">
        <w:rPr>
          <w:rStyle w:val="FootnoteReference"/>
          <w:rFonts w:asciiTheme="minorHAnsi" w:hAnsiTheme="minorHAnsi" w:cs="Arial"/>
          <w:sz w:val="22"/>
          <w:szCs w:val="22"/>
          <w:lang w:val="en-GB"/>
        </w:rPr>
        <w:footnoteReference w:id="1"/>
      </w:r>
      <w:r w:rsidRPr="00CB731B">
        <w:rPr>
          <w:rFonts w:asciiTheme="minorHAnsi" w:hAnsiTheme="minorHAnsi" w:cs="Arial"/>
          <w:sz w:val="22"/>
          <w:szCs w:val="22"/>
          <w:lang w:val="en-GB"/>
        </w:rPr>
        <w:t>. The EEA role is to support the European Union in the development and implementation of environmental policy by providing relevant, reliable, targeted and timely information on the state of the environment and future prospects. The EEA also provides the necessary independent scientific knowledge and technical support to enable the Union and the member countries to take appropriate measures to protect and improve the environment as laid down in the Treaty and by successive Community action programmes on the environment and sustainable development. Currently, the EEA has 33 member countries (the Member States of the European Union, Iceland, Liechtenstein, Norway, Switzerland and Turkey).</w:t>
      </w:r>
    </w:p>
    <w:p w14:paraId="7BDD7E4A" w14:textId="77777777"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The EEA is the hub of the European Environment Information and Observation Network (Eionet), a network of around 350 organisations across </w:t>
      </w:r>
      <w:r w:rsidR="00F662EC" w:rsidRPr="00CB731B">
        <w:rPr>
          <w:rFonts w:asciiTheme="minorHAnsi" w:hAnsiTheme="minorHAnsi" w:cs="Arial"/>
          <w:sz w:val="22"/>
          <w:szCs w:val="22"/>
          <w:lang w:val="en-GB"/>
        </w:rPr>
        <w:t>Europe,</w:t>
      </w:r>
      <w:r w:rsidRPr="00CB731B">
        <w:rPr>
          <w:rFonts w:asciiTheme="minorHAnsi" w:hAnsiTheme="minorHAnsi" w:cs="Arial"/>
          <w:sz w:val="22"/>
          <w:szCs w:val="22"/>
          <w:lang w:val="en-GB"/>
        </w:rPr>
        <w:t xml:space="preserve"> through which it collects and disseminates environment-related data and information, including European Topic Centres. The EEA and Eionet contribute to the European Shared Environmental Information System (SEIS), a distributed, integrated, web-enabled information system based on a network of public information providers sharing environmental data and information. It builds on existing e-infrastructure, systems and services in the Member States and EU institutions.</w:t>
      </w:r>
    </w:p>
    <w:p w14:paraId="7B42D5F7" w14:textId="7BAD8C81"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There are approximately </w:t>
      </w:r>
      <w:r w:rsidR="00405138" w:rsidRPr="00CB731B">
        <w:rPr>
          <w:rFonts w:asciiTheme="minorHAnsi" w:hAnsiTheme="minorHAnsi" w:cs="Arial"/>
          <w:sz w:val="22"/>
          <w:szCs w:val="22"/>
          <w:lang w:val="en-GB"/>
        </w:rPr>
        <w:t>2</w:t>
      </w:r>
      <w:r w:rsidR="00405138">
        <w:rPr>
          <w:rFonts w:asciiTheme="minorHAnsi" w:hAnsiTheme="minorHAnsi" w:cs="Arial"/>
          <w:sz w:val="22"/>
          <w:szCs w:val="22"/>
          <w:lang w:val="en-GB"/>
        </w:rPr>
        <w:t>3</w:t>
      </w:r>
      <w:r w:rsidR="00405138" w:rsidRPr="00CB731B">
        <w:rPr>
          <w:rFonts w:asciiTheme="minorHAnsi" w:hAnsiTheme="minorHAnsi" w:cs="Arial"/>
          <w:sz w:val="22"/>
          <w:szCs w:val="22"/>
          <w:lang w:val="en-GB"/>
        </w:rPr>
        <w:t xml:space="preserve">0 </w:t>
      </w:r>
      <w:r w:rsidRPr="00CB731B">
        <w:rPr>
          <w:rFonts w:asciiTheme="minorHAnsi" w:hAnsiTheme="minorHAnsi" w:cs="Arial"/>
          <w:sz w:val="22"/>
          <w:szCs w:val="22"/>
          <w:lang w:val="en-GB"/>
        </w:rPr>
        <w:t>staff members working at the EEA. These staff members come from a wide range of national, professional and cultural backgrounds. Their functions at the EEA vary from environment-related research and data-analysis to administrative or managerial tasks.</w:t>
      </w:r>
    </w:p>
    <w:p w14:paraId="4E1752F3" w14:textId="77777777"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Staff members employed by the EEA are subject to the Staff Regulations and the Conditions of Employment of Other Servants of the European Union (Regulation (EEC, Euratom, ECSC) No 259/68 of the Council of 29.2.1968 (OJ L 56/1 of 4.3.1968) as last amended by Regulation (EU, Euratom) No 1023/2013 of the European Parliament and of the Council of 22.10.2013 (OJ L 287/15 of 29.10.2013). EEA staff members are not subject to national employment law.</w:t>
      </w:r>
    </w:p>
    <w:p w14:paraId="6FD6159B" w14:textId="77777777" w:rsidR="005F1495" w:rsidRPr="00CB731B" w:rsidRDefault="005F1495" w:rsidP="005F1495">
      <w:pPr>
        <w:rPr>
          <w:rFonts w:asciiTheme="minorHAnsi" w:hAnsiTheme="minorHAnsi" w:cs="Arial"/>
          <w:sz w:val="22"/>
          <w:szCs w:val="22"/>
          <w:lang w:val="en-GB"/>
        </w:rPr>
      </w:pPr>
      <w:r w:rsidRPr="00CB731B">
        <w:rPr>
          <w:rFonts w:asciiTheme="minorHAnsi" w:hAnsiTheme="minorHAnsi" w:cs="Arial"/>
          <w:sz w:val="22"/>
          <w:szCs w:val="22"/>
          <w:lang w:val="en-GB"/>
        </w:rPr>
        <w:t xml:space="preserve">Further information about the work of EEA can be obtained on its website: </w:t>
      </w:r>
      <w:hyperlink r:id="rId8" w:history="1">
        <w:r w:rsidRPr="00CB731B">
          <w:rPr>
            <w:rStyle w:val="Hyperlink"/>
            <w:rFonts w:asciiTheme="minorHAnsi" w:hAnsiTheme="minorHAnsi" w:cs="Arial"/>
            <w:sz w:val="22"/>
            <w:szCs w:val="22"/>
            <w:lang w:val="en-GB"/>
          </w:rPr>
          <w:t>http://www.eea.europa.eu</w:t>
        </w:r>
      </w:hyperlink>
      <w:r w:rsidRPr="00CB731B">
        <w:rPr>
          <w:rFonts w:asciiTheme="minorHAnsi" w:hAnsiTheme="minorHAnsi" w:cs="Arial"/>
          <w:sz w:val="22"/>
          <w:szCs w:val="22"/>
          <w:lang w:val="en-GB"/>
        </w:rPr>
        <w:t xml:space="preserve">. </w:t>
      </w:r>
    </w:p>
    <w:p w14:paraId="0307D9A4" w14:textId="77777777" w:rsidR="005F1495" w:rsidRPr="00CB731B" w:rsidRDefault="005F1495" w:rsidP="005F1495">
      <w:pPr>
        <w:rPr>
          <w:rFonts w:asciiTheme="minorHAnsi" w:hAnsiTheme="minorHAnsi" w:cs="Arial"/>
          <w:sz w:val="22"/>
          <w:szCs w:val="22"/>
          <w:lang w:val="en-GB"/>
        </w:rPr>
      </w:pPr>
    </w:p>
    <w:p w14:paraId="5F3525A5" w14:textId="77777777" w:rsidR="005F1495" w:rsidRPr="00CB731B" w:rsidRDefault="005F1495" w:rsidP="005F1495">
      <w:pPr>
        <w:numPr>
          <w:ilvl w:val="0"/>
          <w:numId w:val="10"/>
        </w:numPr>
        <w:rPr>
          <w:rFonts w:asciiTheme="minorHAnsi" w:hAnsiTheme="minorHAnsi" w:cs="Arial"/>
          <w:b/>
          <w:color w:val="FF0000"/>
          <w:sz w:val="22"/>
          <w:szCs w:val="22"/>
          <w:lang w:val="en-GB"/>
        </w:rPr>
      </w:pPr>
      <w:r w:rsidRPr="00CB731B">
        <w:rPr>
          <w:rFonts w:asciiTheme="minorHAnsi" w:hAnsiTheme="minorHAnsi" w:cs="Arial"/>
          <w:b/>
          <w:sz w:val="22"/>
          <w:szCs w:val="22"/>
          <w:lang w:val="en-GB"/>
        </w:rPr>
        <w:br w:type="page"/>
      </w:r>
      <w:r w:rsidRPr="00B75D76">
        <w:rPr>
          <w:rFonts w:asciiTheme="minorHAnsi" w:hAnsiTheme="minorHAnsi" w:cs="Arial"/>
          <w:b/>
          <w:sz w:val="22"/>
          <w:szCs w:val="22"/>
          <w:lang w:val="en-GB"/>
        </w:rPr>
        <w:lastRenderedPageBreak/>
        <w:t>Presentation of the tender</w:t>
      </w:r>
    </w:p>
    <w:p w14:paraId="14F20636" w14:textId="77777777"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Tenders shall be submitted in accordance with the </w:t>
      </w:r>
      <w:r w:rsidRPr="00CB731B">
        <w:rPr>
          <w:rFonts w:asciiTheme="minorHAnsi" w:hAnsiTheme="minorHAnsi" w:cs="Arial"/>
          <w:b/>
          <w:i/>
          <w:sz w:val="22"/>
          <w:szCs w:val="22"/>
          <w:lang w:val="en-GB"/>
        </w:rPr>
        <w:t>double envelopes system</w:t>
      </w:r>
      <w:r w:rsidRPr="00CB731B">
        <w:rPr>
          <w:rFonts w:asciiTheme="minorHAnsi" w:hAnsiTheme="minorHAnsi" w:cs="Arial"/>
          <w:sz w:val="22"/>
          <w:szCs w:val="22"/>
          <w:lang w:val="en-GB"/>
        </w:rPr>
        <w:t>:</w:t>
      </w:r>
    </w:p>
    <w:p w14:paraId="23E4F2E0" w14:textId="77777777"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The outer envelope or parcel should be sealed with adhesive tape and signed across the seal and carry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5F1495" w:rsidRPr="00FA6C2D" w14:paraId="4E712B4C" w14:textId="77777777" w:rsidTr="00917AD6">
        <w:tc>
          <w:tcPr>
            <w:tcW w:w="8862" w:type="dxa"/>
            <w:shd w:val="clear" w:color="auto" w:fill="auto"/>
          </w:tcPr>
          <w:p w14:paraId="21464A20" w14:textId="78BB4FFA" w:rsidR="005F1495" w:rsidRPr="00CB731B" w:rsidRDefault="005F1495" w:rsidP="00917AD6">
            <w:pPr>
              <w:numPr>
                <w:ilvl w:val="0"/>
                <w:numId w:val="3"/>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The call for tenders reference No </w:t>
            </w:r>
            <w:r w:rsidRPr="00CB731B">
              <w:rPr>
                <w:rFonts w:asciiTheme="minorHAnsi" w:hAnsiTheme="minorHAnsi" w:cs="Arial"/>
                <w:b/>
                <w:sz w:val="22"/>
                <w:szCs w:val="22"/>
                <w:lang w:val="en-GB"/>
              </w:rPr>
              <w:t>EEA/ADS/14/</w:t>
            </w:r>
            <w:r w:rsidR="003B289A" w:rsidRPr="00CB731B">
              <w:rPr>
                <w:rFonts w:asciiTheme="minorHAnsi" w:hAnsiTheme="minorHAnsi" w:cs="Arial"/>
                <w:b/>
                <w:sz w:val="22"/>
                <w:szCs w:val="22"/>
                <w:lang w:val="en-GB"/>
              </w:rPr>
              <w:t>00</w:t>
            </w:r>
            <w:r w:rsidR="003B289A">
              <w:rPr>
                <w:rFonts w:asciiTheme="minorHAnsi" w:hAnsiTheme="minorHAnsi" w:cs="Arial"/>
                <w:b/>
                <w:sz w:val="22"/>
                <w:szCs w:val="22"/>
                <w:lang w:val="en-GB"/>
              </w:rPr>
              <w:t>6</w:t>
            </w:r>
          </w:p>
          <w:p w14:paraId="209683CB" w14:textId="3AF28C43" w:rsidR="005F1495" w:rsidRPr="00915094" w:rsidRDefault="005F1495" w:rsidP="00917AD6">
            <w:pPr>
              <w:numPr>
                <w:ilvl w:val="0"/>
                <w:numId w:val="3"/>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The contract title </w:t>
            </w:r>
            <w:r w:rsidRPr="00CB731B">
              <w:rPr>
                <w:rFonts w:asciiTheme="minorHAnsi" w:hAnsiTheme="minorHAnsi" w:cs="Arial"/>
                <w:b/>
                <w:i/>
                <w:sz w:val="22"/>
                <w:szCs w:val="22"/>
                <w:lang w:val="en-GB"/>
              </w:rPr>
              <w:t>“</w:t>
            </w:r>
            <w:r w:rsidR="003B289A">
              <w:rPr>
                <w:rFonts w:asciiTheme="minorHAnsi" w:hAnsiTheme="minorHAnsi" w:cs="Arial"/>
                <w:b/>
                <w:i/>
                <w:sz w:val="22"/>
                <w:szCs w:val="22"/>
                <w:lang w:val="en-GB"/>
              </w:rPr>
              <w:t xml:space="preserve">Setting-up of the EEA </w:t>
            </w:r>
            <w:r w:rsidR="00781269">
              <w:rPr>
                <w:rFonts w:asciiTheme="minorHAnsi" w:hAnsiTheme="minorHAnsi" w:cs="Arial"/>
                <w:b/>
                <w:i/>
                <w:sz w:val="22"/>
                <w:szCs w:val="22"/>
                <w:lang w:val="en-GB"/>
              </w:rPr>
              <w:t>Competence based management system</w:t>
            </w:r>
            <w:r w:rsidRPr="00CB731B">
              <w:rPr>
                <w:rFonts w:asciiTheme="minorHAnsi" w:hAnsiTheme="minorHAnsi" w:cs="Arial"/>
                <w:b/>
                <w:i/>
                <w:sz w:val="22"/>
                <w:szCs w:val="22"/>
                <w:lang w:val="en-GB"/>
              </w:rPr>
              <w:t>”</w:t>
            </w:r>
          </w:p>
          <w:p w14:paraId="57567FAA" w14:textId="77777777" w:rsidR="005F1495" w:rsidRPr="00CB731B" w:rsidRDefault="005F1495" w:rsidP="00917AD6">
            <w:pPr>
              <w:numPr>
                <w:ilvl w:val="0"/>
                <w:numId w:val="3"/>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The name of the tenderer</w:t>
            </w:r>
          </w:p>
          <w:p w14:paraId="2C6C7EFE" w14:textId="77777777" w:rsidR="005F1495" w:rsidRPr="00CB731B" w:rsidRDefault="005F1495" w:rsidP="00917AD6">
            <w:pPr>
              <w:numPr>
                <w:ilvl w:val="0"/>
                <w:numId w:val="3"/>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The indication </w:t>
            </w:r>
            <w:r w:rsidRPr="00CB731B">
              <w:rPr>
                <w:rFonts w:asciiTheme="minorHAnsi" w:hAnsiTheme="minorHAnsi" w:cs="Arial"/>
                <w:b/>
                <w:i/>
                <w:sz w:val="22"/>
                <w:szCs w:val="22"/>
                <w:lang w:val="en-GB"/>
              </w:rPr>
              <w:t>“Tender – Not to be opened by the internal mail services”</w:t>
            </w:r>
          </w:p>
          <w:p w14:paraId="59508EC5" w14:textId="77777777" w:rsidR="005F1495" w:rsidRPr="00CB731B" w:rsidRDefault="005F1495" w:rsidP="00917AD6">
            <w:pPr>
              <w:numPr>
                <w:ilvl w:val="0"/>
                <w:numId w:val="3"/>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The address for submission of tender (as specified in the letter of invitation to tender)</w:t>
            </w:r>
          </w:p>
          <w:p w14:paraId="0281F3C3" w14:textId="77777777" w:rsidR="005F1495" w:rsidRPr="00CB731B" w:rsidRDefault="005F1495" w:rsidP="00917AD6">
            <w:pPr>
              <w:numPr>
                <w:ilvl w:val="0"/>
                <w:numId w:val="3"/>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The date of submission shall be legible on the outer envelope or parcel </w:t>
            </w:r>
          </w:p>
        </w:tc>
      </w:tr>
    </w:tbl>
    <w:p w14:paraId="6696E9F0" w14:textId="77777777"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The outer envelope or parcel must contain three inner envelopes, i.e. Envelopes No 1, 2 and 3, corresponding to the following three sections: administrative section, technical offer and financial offer. </w:t>
      </w:r>
    </w:p>
    <w:p w14:paraId="4699792C" w14:textId="77777777" w:rsidR="005F1495" w:rsidRPr="00CB731B" w:rsidRDefault="005F1495" w:rsidP="005F1495">
      <w:pPr>
        <w:numPr>
          <w:ilvl w:val="1"/>
          <w:numId w:val="3"/>
        </w:numPr>
        <w:spacing w:before="120" w:after="120"/>
        <w:rPr>
          <w:rFonts w:asciiTheme="minorHAnsi" w:hAnsiTheme="minorHAnsi" w:cs="Arial"/>
          <w:b/>
          <w:sz w:val="22"/>
          <w:szCs w:val="22"/>
          <w:lang w:val="en-GB"/>
        </w:rPr>
      </w:pPr>
      <w:r w:rsidRPr="00CB731B">
        <w:rPr>
          <w:rFonts w:asciiTheme="minorHAnsi" w:hAnsiTheme="minorHAnsi" w:cs="Arial"/>
          <w:b/>
          <w:sz w:val="22"/>
          <w:szCs w:val="22"/>
          <w:lang w:val="en-GB"/>
        </w:rPr>
        <w:t xml:space="preserve">Envelope No 1 – Administrative section </w:t>
      </w:r>
      <w:r w:rsidRPr="00CB731B">
        <w:rPr>
          <w:rFonts w:asciiTheme="minorHAnsi" w:hAnsiTheme="minorHAnsi" w:cs="Arial"/>
          <w:sz w:val="22"/>
          <w:szCs w:val="22"/>
          <w:lang w:val="en-GB"/>
        </w:rPr>
        <w:t>shall include the following:</w:t>
      </w:r>
    </w:p>
    <w:p w14:paraId="08CA76C9" w14:textId="77777777" w:rsidR="005F1495" w:rsidRPr="00CB731B" w:rsidRDefault="005F1495" w:rsidP="005F1495">
      <w:pPr>
        <w:numPr>
          <w:ilvl w:val="1"/>
          <w:numId w:val="4"/>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The Tender submission form drawn up in accordance with the template in annex 1</w:t>
      </w:r>
    </w:p>
    <w:p w14:paraId="5A3BC2C7" w14:textId="77777777" w:rsidR="005F1495" w:rsidRPr="00CB731B" w:rsidRDefault="005F1495" w:rsidP="005F1495">
      <w:pPr>
        <w:numPr>
          <w:ilvl w:val="1"/>
          <w:numId w:val="4"/>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The declaration on exclusion criteria as required under section 9.1.2 drawn up in accordance with the template in annex 2</w:t>
      </w:r>
    </w:p>
    <w:p w14:paraId="41AC2A41" w14:textId="77777777" w:rsidR="005F1495" w:rsidRPr="00CB731B" w:rsidRDefault="005F1495" w:rsidP="005F1495">
      <w:pPr>
        <w:numPr>
          <w:ilvl w:val="1"/>
          <w:numId w:val="4"/>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The legal entity form as required under section 9.2.1 drawn up in accordance with the template in annex 3</w:t>
      </w:r>
    </w:p>
    <w:p w14:paraId="04DDD0EA" w14:textId="77777777" w:rsidR="005F1495" w:rsidRPr="00CB731B" w:rsidRDefault="005F1495" w:rsidP="005F1495">
      <w:pPr>
        <w:numPr>
          <w:ilvl w:val="1"/>
          <w:numId w:val="4"/>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The financial identification form drawn up in accordance with the template in annex 4</w:t>
      </w:r>
    </w:p>
    <w:p w14:paraId="4CA4578E" w14:textId="77777777" w:rsidR="005F1495" w:rsidRPr="00CB731B" w:rsidRDefault="005F1495" w:rsidP="005F1495">
      <w:pPr>
        <w:numPr>
          <w:ilvl w:val="1"/>
          <w:numId w:val="4"/>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The evidence and documentation demonstrating the fulfilment of the selection criteria as required under sections 9.2.2 (economic and financial capacity) and 9.2.3 (technical and professional capacity)</w:t>
      </w:r>
    </w:p>
    <w:p w14:paraId="57BFC56A" w14:textId="77777777" w:rsidR="005F1495" w:rsidRPr="00CB731B" w:rsidRDefault="005F1495" w:rsidP="005F1495">
      <w:pPr>
        <w:numPr>
          <w:ilvl w:val="1"/>
          <w:numId w:val="3"/>
        </w:numPr>
        <w:spacing w:before="120" w:after="120"/>
        <w:rPr>
          <w:rFonts w:asciiTheme="minorHAnsi" w:hAnsiTheme="minorHAnsi" w:cs="Arial"/>
          <w:b/>
          <w:sz w:val="22"/>
          <w:szCs w:val="22"/>
          <w:lang w:val="en-GB"/>
        </w:rPr>
      </w:pPr>
      <w:r w:rsidRPr="00CB731B">
        <w:rPr>
          <w:rFonts w:asciiTheme="minorHAnsi" w:hAnsiTheme="minorHAnsi" w:cs="Arial"/>
          <w:b/>
          <w:sz w:val="22"/>
          <w:szCs w:val="22"/>
          <w:lang w:val="en-GB"/>
        </w:rPr>
        <w:t>Envelope No 2 – Technical offer</w:t>
      </w:r>
      <w:r w:rsidRPr="00CB731B">
        <w:rPr>
          <w:rFonts w:asciiTheme="minorHAnsi" w:hAnsiTheme="minorHAnsi" w:cs="Arial"/>
          <w:sz w:val="22"/>
          <w:szCs w:val="22"/>
          <w:lang w:val="en-GB"/>
        </w:rPr>
        <w:t xml:space="preserve"> shall include the following:</w:t>
      </w:r>
    </w:p>
    <w:p w14:paraId="730563BF" w14:textId="77777777" w:rsidR="005F1495" w:rsidRPr="00CB731B" w:rsidRDefault="005F1495" w:rsidP="005F1495">
      <w:pPr>
        <w:spacing w:before="120" w:after="120"/>
        <w:ind w:left="540"/>
        <w:rPr>
          <w:rFonts w:asciiTheme="minorHAnsi" w:hAnsiTheme="minorHAnsi" w:cs="Arial"/>
          <w:sz w:val="22"/>
          <w:szCs w:val="22"/>
          <w:shd w:val="clear" w:color="auto" w:fill="FF9900"/>
          <w:lang w:val="en-GB"/>
        </w:rPr>
      </w:pPr>
      <w:r w:rsidRPr="00CB731B">
        <w:rPr>
          <w:rFonts w:asciiTheme="minorHAnsi" w:hAnsiTheme="minorHAnsi" w:cs="Arial"/>
          <w:sz w:val="22"/>
          <w:szCs w:val="22"/>
          <w:lang w:val="en-GB"/>
        </w:rPr>
        <w:t>The technical offer providing all information requested under sections 6 and 9.3.1 including</w:t>
      </w:r>
      <w:r w:rsidR="003B289A">
        <w:rPr>
          <w:rFonts w:asciiTheme="minorHAnsi" w:hAnsiTheme="minorHAnsi" w:cs="Arial"/>
          <w:sz w:val="22"/>
          <w:szCs w:val="22"/>
          <w:lang w:val="en-GB"/>
        </w:rPr>
        <w:t>,</w:t>
      </w:r>
      <w:r w:rsidRPr="00CB731B">
        <w:rPr>
          <w:rFonts w:asciiTheme="minorHAnsi" w:hAnsiTheme="minorHAnsi" w:cs="Arial"/>
          <w:sz w:val="22"/>
          <w:szCs w:val="22"/>
          <w:lang w:val="en-GB"/>
        </w:rPr>
        <w:t xml:space="preserve"> </w:t>
      </w:r>
      <w:r w:rsidR="003B289A">
        <w:rPr>
          <w:rFonts w:asciiTheme="minorHAnsi" w:hAnsiTheme="minorHAnsi" w:cs="Arial"/>
          <w:sz w:val="22"/>
          <w:szCs w:val="22"/>
          <w:lang w:val="en-GB"/>
        </w:rPr>
        <w:t xml:space="preserve">where appropriate, </w:t>
      </w:r>
      <w:r w:rsidRPr="00CB731B">
        <w:rPr>
          <w:rFonts w:asciiTheme="minorHAnsi" w:hAnsiTheme="minorHAnsi" w:cs="Arial"/>
          <w:sz w:val="22"/>
          <w:szCs w:val="22"/>
          <w:lang w:val="en-GB"/>
        </w:rPr>
        <w:t>information relevant to subcontracting as requested under section 4.3.</w:t>
      </w:r>
    </w:p>
    <w:p w14:paraId="30D09A56" w14:textId="77777777" w:rsidR="005F1495" w:rsidRPr="00CB731B" w:rsidRDefault="005F1495" w:rsidP="005F1495">
      <w:pPr>
        <w:numPr>
          <w:ilvl w:val="1"/>
          <w:numId w:val="3"/>
        </w:numPr>
        <w:spacing w:before="120" w:after="120"/>
        <w:rPr>
          <w:rFonts w:asciiTheme="minorHAnsi" w:hAnsiTheme="minorHAnsi" w:cs="Arial"/>
          <w:b/>
          <w:sz w:val="22"/>
          <w:szCs w:val="22"/>
          <w:lang w:val="en-GB"/>
        </w:rPr>
      </w:pPr>
      <w:r w:rsidRPr="00CB731B">
        <w:rPr>
          <w:rFonts w:asciiTheme="minorHAnsi" w:hAnsiTheme="minorHAnsi" w:cs="Arial"/>
          <w:b/>
          <w:sz w:val="22"/>
          <w:szCs w:val="22"/>
          <w:lang w:val="en-GB"/>
        </w:rPr>
        <w:t>Envelope No 3 – Financial offer</w:t>
      </w:r>
      <w:r w:rsidRPr="00CB731B">
        <w:rPr>
          <w:rFonts w:asciiTheme="minorHAnsi" w:hAnsiTheme="minorHAnsi" w:cs="Arial"/>
          <w:sz w:val="22"/>
          <w:szCs w:val="22"/>
          <w:lang w:val="en-GB"/>
        </w:rPr>
        <w:t xml:space="preserve"> shall include the following:</w:t>
      </w:r>
    </w:p>
    <w:p w14:paraId="4DBDAA23" w14:textId="77777777" w:rsidR="005F1495" w:rsidRPr="00CB731B" w:rsidRDefault="005F1495" w:rsidP="005F1495">
      <w:pPr>
        <w:spacing w:before="120" w:after="120"/>
        <w:ind w:left="540"/>
        <w:rPr>
          <w:rFonts w:asciiTheme="minorHAnsi" w:hAnsiTheme="minorHAnsi" w:cs="Arial"/>
          <w:sz w:val="22"/>
          <w:szCs w:val="22"/>
          <w:lang w:val="en-GB"/>
        </w:rPr>
      </w:pPr>
      <w:r w:rsidRPr="00CB731B">
        <w:rPr>
          <w:rFonts w:asciiTheme="minorHAnsi" w:hAnsiTheme="minorHAnsi" w:cs="Arial"/>
          <w:sz w:val="22"/>
          <w:szCs w:val="22"/>
          <w:lang w:val="en-GB"/>
        </w:rPr>
        <w:t>The financial offer providing all information requested under sections 8 and 9.3.2, drawn up in accordance with the template in annex 5.</w:t>
      </w:r>
    </w:p>
    <w:p w14:paraId="0034D2D7" w14:textId="77777777"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Tenders shall be drafted in one of the official languages of the European Union, </w:t>
      </w:r>
      <w:r w:rsidRPr="00CB731B">
        <w:rPr>
          <w:rFonts w:asciiTheme="minorHAnsi" w:hAnsiTheme="minorHAnsi" w:cs="Arial"/>
          <w:b/>
          <w:sz w:val="22"/>
          <w:szCs w:val="22"/>
          <w:lang w:val="en-GB"/>
        </w:rPr>
        <w:t>preferably in English</w:t>
      </w:r>
      <w:r w:rsidRPr="00CB731B">
        <w:rPr>
          <w:rFonts w:asciiTheme="minorHAnsi" w:hAnsiTheme="minorHAnsi" w:cs="Arial"/>
          <w:sz w:val="22"/>
          <w:szCs w:val="22"/>
          <w:lang w:val="en-GB"/>
        </w:rPr>
        <w:t xml:space="preserve"> (supporting evidence does not need to be translated) and submitted </w:t>
      </w:r>
      <w:r w:rsidRPr="00CB731B">
        <w:rPr>
          <w:rFonts w:asciiTheme="minorHAnsi" w:hAnsiTheme="minorHAnsi" w:cs="Arial"/>
          <w:b/>
          <w:sz w:val="22"/>
          <w:szCs w:val="22"/>
          <w:lang w:val="en-GB"/>
        </w:rPr>
        <w:t xml:space="preserve">in triplicate </w:t>
      </w:r>
      <w:r w:rsidRPr="00CB731B">
        <w:rPr>
          <w:rFonts w:asciiTheme="minorHAnsi" w:hAnsiTheme="minorHAnsi" w:cs="Arial"/>
          <w:sz w:val="22"/>
          <w:szCs w:val="22"/>
          <w:lang w:val="en-GB"/>
        </w:rPr>
        <w:t>(one signed original unbound and two copies).</w:t>
      </w:r>
    </w:p>
    <w:p w14:paraId="05893895" w14:textId="77777777"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It is important that tenders be presented in the correct format and include all documents necessary to enable the evaluation committee to asses them. Failure to respect these requirements will constitute a formal error and may result in the rejection of the tender.</w:t>
      </w:r>
    </w:p>
    <w:p w14:paraId="7C4C61A0" w14:textId="5843D2FD"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Tenderers shall observe precisely the indications in points 2, 3, 4 and 6 of the letter of invitation to tender to ensure their tender are admissible. Late delivery will lead to the non-admissibility of </w:t>
      </w:r>
      <w:r w:rsidRPr="00CB731B">
        <w:rPr>
          <w:rFonts w:asciiTheme="minorHAnsi" w:hAnsiTheme="minorHAnsi" w:cs="Arial"/>
          <w:sz w:val="22"/>
          <w:szCs w:val="22"/>
          <w:lang w:val="en-GB"/>
        </w:rPr>
        <w:lastRenderedPageBreak/>
        <w:t xml:space="preserve">the tender and its rejection from the award procedure for this contract. </w:t>
      </w:r>
      <w:r w:rsidR="002D72AA">
        <w:rPr>
          <w:rFonts w:asciiTheme="minorHAnsi" w:hAnsiTheme="minorHAnsi" w:cs="Arial"/>
          <w:sz w:val="22"/>
          <w:szCs w:val="22"/>
          <w:lang w:val="en-GB"/>
        </w:rPr>
        <w:t>Tend</w:t>
      </w:r>
      <w:r w:rsidR="002D72AA" w:rsidRPr="00CB731B">
        <w:rPr>
          <w:rFonts w:asciiTheme="minorHAnsi" w:hAnsiTheme="minorHAnsi" w:cs="Arial"/>
          <w:sz w:val="22"/>
          <w:szCs w:val="22"/>
          <w:lang w:val="en-GB"/>
        </w:rPr>
        <w:t xml:space="preserve">ers </w:t>
      </w:r>
      <w:r w:rsidRPr="00CB731B">
        <w:rPr>
          <w:rFonts w:asciiTheme="minorHAnsi" w:hAnsiTheme="minorHAnsi" w:cs="Arial"/>
          <w:sz w:val="22"/>
          <w:szCs w:val="22"/>
          <w:lang w:val="en-GB"/>
        </w:rPr>
        <w:t xml:space="preserve">sent by e-mail or by fax will also be non-admissible and discarded. Envelopes found opened at the opening session will also lead to non-admissibility of the tender. Consequently, tenderers must ensure that their tenders are packed in such a way as to prevent any accidental opening during </w:t>
      </w:r>
      <w:r w:rsidR="003B289A">
        <w:rPr>
          <w:rFonts w:asciiTheme="minorHAnsi" w:hAnsiTheme="minorHAnsi" w:cs="Arial"/>
          <w:sz w:val="22"/>
          <w:szCs w:val="22"/>
          <w:lang w:val="en-GB"/>
        </w:rPr>
        <w:t>their</w:t>
      </w:r>
      <w:r w:rsidR="003B289A" w:rsidRPr="00CB731B">
        <w:rPr>
          <w:rFonts w:asciiTheme="minorHAnsi" w:hAnsiTheme="minorHAnsi" w:cs="Arial"/>
          <w:sz w:val="22"/>
          <w:szCs w:val="22"/>
          <w:lang w:val="en-GB"/>
        </w:rPr>
        <w:t xml:space="preserve"> </w:t>
      </w:r>
      <w:r w:rsidRPr="00CB731B">
        <w:rPr>
          <w:rFonts w:asciiTheme="minorHAnsi" w:hAnsiTheme="minorHAnsi" w:cs="Arial"/>
          <w:sz w:val="22"/>
          <w:szCs w:val="22"/>
          <w:lang w:val="en-GB"/>
        </w:rPr>
        <w:t>mailing.</w:t>
      </w:r>
    </w:p>
    <w:p w14:paraId="194A39DD" w14:textId="77777777" w:rsidR="005F1495" w:rsidRPr="00CB731B" w:rsidRDefault="005F1495" w:rsidP="005F1495">
      <w:pPr>
        <w:numPr>
          <w:ilvl w:val="0"/>
          <w:numId w:val="10"/>
        </w:numPr>
        <w:spacing w:before="120" w:after="120"/>
        <w:rPr>
          <w:rFonts w:asciiTheme="minorHAnsi" w:hAnsiTheme="minorHAnsi" w:cs="Arial"/>
          <w:b/>
          <w:sz w:val="22"/>
          <w:szCs w:val="22"/>
          <w:lang w:val="en-GB"/>
        </w:rPr>
      </w:pPr>
      <w:r w:rsidRPr="00CB731B">
        <w:rPr>
          <w:rFonts w:asciiTheme="minorHAnsi" w:hAnsiTheme="minorHAnsi" w:cs="Arial"/>
          <w:b/>
          <w:sz w:val="22"/>
          <w:szCs w:val="22"/>
          <w:lang w:val="en-GB"/>
        </w:rPr>
        <w:t>Confidentiality and protection of personal data</w:t>
      </w:r>
    </w:p>
    <w:p w14:paraId="4F9A94D9" w14:textId="77777777"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For the processing of this tendering procedure, the EEA observes the rules set in Regulation (EC) No 45/2001 on the protection of individuals with regard to the processing of personal data by Community institutions and bodies and on the free movement of such data (OJEU L 8 of 12.1.2001, p. 1).</w:t>
      </w:r>
    </w:p>
    <w:p w14:paraId="784D2032" w14:textId="77777777"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For further detailed information please refer to the privacy statement available on the EEA external website at the following address: http://www.eea.europa.eu/about-us/tenders/privacy-statement.</w:t>
      </w:r>
    </w:p>
    <w:p w14:paraId="41D9166D" w14:textId="77777777" w:rsidR="005F1495" w:rsidRPr="00CB731B" w:rsidRDefault="005F1495" w:rsidP="005F1495">
      <w:pPr>
        <w:pStyle w:val="ListBullet1"/>
        <w:numPr>
          <w:ilvl w:val="0"/>
          <w:numId w:val="10"/>
        </w:numPr>
        <w:spacing w:before="120" w:after="120"/>
        <w:rPr>
          <w:rFonts w:asciiTheme="minorHAnsi" w:hAnsiTheme="minorHAnsi" w:cs="Arial"/>
          <w:b/>
          <w:sz w:val="22"/>
          <w:szCs w:val="22"/>
          <w:lang w:val="en-GB"/>
        </w:rPr>
      </w:pPr>
      <w:r w:rsidRPr="00CB731B">
        <w:rPr>
          <w:rFonts w:asciiTheme="minorHAnsi" w:hAnsiTheme="minorHAnsi" w:cs="Arial"/>
          <w:b/>
          <w:sz w:val="22"/>
          <w:szCs w:val="22"/>
          <w:lang w:val="en-GB"/>
        </w:rPr>
        <w:t>Participation in the tendering procedure</w:t>
      </w:r>
    </w:p>
    <w:p w14:paraId="403E1B9B"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Submission of a tender implies acceptance of the terms and conditions set out in the invitation to tender, in these tender specifications and in the draft framework contract attached to the latter (see annex 6) and, where appropriate, waiver of the tenderer’s own general or specific terms and conditions. It is binding on the tenderer to whom the contract is awarded for the duration of the contract.</w:t>
      </w:r>
    </w:p>
    <w:p w14:paraId="29B5D224" w14:textId="77777777" w:rsidR="005F1495" w:rsidRPr="00CB731B" w:rsidRDefault="005F1495" w:rsidP="005F1495">
      <w:pPr>
        <w:pStyle w:val="ListBullet1"/>
        <w:numPr>
          <w:ilvl w:val="0"/>
          <w:numId w:val="0"/>
        </w:numPr>
        <w:spacing w:before="120" w:after="120"/>
        <w:outlineLvl w:val="0"/>
        <w:rPr>
          <w:rFonts w:asciiTheme="minorHAnsi" w:hAnsiTheme="minorHAnsi" w:cs="Arial"/>
          <w:b/>
          <w:i/>
          <w:sz w:val="22"/>
          <w:szCs w:val="22"/>
          <w:lang w:val="en-GB"/>
        </w:rPr>
      </w:pPr>
      <w:r w:rsidRPr="00CB731B">
        <w:rPr>
          <w:rFonts w:asciiTheme="minorHAnsi" w:hAnsiTheme="minorHAnsi" w:cs="Arial"/>
          <w:b/>
          <w:i/>
          <w:sz w:val="22"/>
          <w:szCs w:val="22"/>
          <w:lang w:val="en-GB"/>
        </w:rPr>
        <w:t>4.1.</w:t>
      </w:r>
      <w:r w:rsidRPr="00CB731B">
        <w:rPr>
          <w:rFonts w:asciiTheme="minorHAnsi" w:hAnsiTheme="minorHAnsi" w:cs="Arial"/>
          <w:b/>
          <w:i/>
          <w:sz w:val="22"/>
          <w:szCs w:val="22"/>
          <w:lang w:val="en-GB"/>
        </w:rPr>
        <w:tab/>
        <w:t>Eligibility</w:t>
      </w:r>
    </w:p>
    <w:p w14:paraId="3F4B77D5"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This call for tenders is open on equal terms to all natural and legal persons from one of the 33 EEA member countries and to all natural and legal persons established in a third country which has a special agreement with the European Union in the field of procurement on the conditions laid down in that agreement</w:t>
      </w:r>
      <w:r w:rsidRPr="00CB731B">
        <w:rPr>
          <w:rStyle w:val="FootnoteReference"/>
          <w:rFonts w:asciiTheme="minorHAnsi" w:hAnsiTheme="minorHAnsi" w:cs="Arial"/>
          <w:sz w:val="22"/>
          <w:szCs w:val="22"/>
          <w:lang w:val="en-GB"/>
        </w:rPr>
        <w:footnoteReference w:id="2"/>
      </w:r>
      <w:r w:rsidRPr="00CB731B">
        <w:rPr>
          <w:rFonts w:asciiTheme="minorHAnsi" w:hAnsiTheme="minorHAnsi" w:cs="Arial"/>
          <w:sz w:val="22"/>
          <w:szCs w:val="22"/>
          <w:lang w:val="en-GB"/>
        </w:rPr>
        <w:t>.</w:t>
      </w:r>
    </w:p>
    <w:p w14:paraId="4D410E87"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As proof of eligibility tenderers must indicate in the tender submission form (see annex 1) in which state they have their headquarters, registered office or residence, and provide the necessary supporting documents in accordance with their national law. If the tender</w:t>
      </w:r>
      <w:r w:rsidR="002D72AA">
        <w:rPr>
          <w:rFonts w:asciiTheme="minorHAnsi" w:hAnsiTheme="minorHAnsi" w:cs="Arial"/>
          <w:sz w:val="22"/>
          <w:szCs w:val="22"/>
          <w:lang w:val="en-GB"/>
        </w:rPr>
        <w:t>er</w:t>
      </w:r>
      <w:r w:rsidRPr="00CB731B">
        <w:rPr>
          <w:rFonts w:asciiTheme="minorHAnsi" w:hAnsiTheme="minorHAnsi" w:cs="Arial"/>
          <w:sz w:val="22"/>
          <w:szCs w:val="22"/>
          <w:lang w:val="en-GB"/>
        </w:rPr>
        <w:t xml:space="preserve"> is a natural person, he/she must provide a copy of identity card/passport or driving license and proof that he/she is covered by a social security scheme as a self-employed person.</w:t>
      </w:r>
    </w:p>
    <w:p w14:paraId="53D73D50" w14:textId="77777777" w:rsidR="005F1495" w:rsidRPr="00CB731B" w:rsidRDefault="005F1495" w:rsidP="005F1495">
      <w:pPr>
        <w:pStyle w:val="ListBullet1"/>
        <w:numPr>
          <w:ilvl w:val="0"/>
          <w:numId w:val="0"/>
        </w:numPr>
        <w:spacing w:before="120" w:after="120"/>
        <w:outlineLvl w:val="0"/>
        <w:rPr>
          <w:rFonts w:asciiTheme="minorHAnsi" w:hAnsiTheme="minorHAnsi" w:cs="Arial"/>
          <w:b/>
          <w:i/>
          <w:sz w:val="22"/>
          <w:szCs w:val="22"/>
          <w:lang w:val="en-GB"/>
        </w:rPr>
      </w:pPr>
      <w:r w:rsidRPr="00CB731B">
        <w:rPr>
          <w:rFonts w:asciiTheme="minorHAnsi" w:hAnsiTheme="minorHAnsi" w:cs="Arial"/>
          <w:b/>
          <w:i/>
          <w:sz w:val="22"/>
          <w:szCs w:val="22"/>
          <w:lang w:val="en-GB"/>
        </w:rPr>
        <w:t>4.2.</w:t>
      </w:r>
      <w:r w:rsidRPr="00CB731B">
        <w:rPr>
          <w:rFonts w:asciiTheme="minorHAnsi" w:hAnsiTheme="minorHAnsi" w:cs="Arial"/>
          <w:b/>
          <w:i/>
          <w:sz w:val="22"/>
          <w:szCs w:val="22"/>
          <w:lang w:val="en-GB"/>
        </w:rPr>
        <w:tab/>
        <w:t>Application</w:t>
      </w:r>
    </w:p>
    <w:p w14:paraId="035811F7"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All eligible natural and legal persons (as per above) or groupings of such persons (consortia) may apply.</w:t>
      </w:r>
    </w:p>
    <w:p w14:paraId="64B5D36C"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A consortium may be a permanent, legally established grouping or a grouping, which has been constituted informally for a specific tender procedure. If awarded the contract, the members of the consortium (i.e. the leader and all the other partners) will have an equal standing towards the EEA in executing the framework service contract and they will be jointly and severally liable to the EEA.</w:t>
      </w:r>
    </w:p>
    <w:p w14:paraId="2E7CB3E5"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lastRenderedPageBreak/>
        <w:t>The participation of ineligible natural or legal person will result in the automatic exclusion of that person. In particular, if that ineligible person belongs to a consortium, the whole consortium will be excluded.</w:t>
      </w:r>
    </w:p>
    <w:p w14:paraId="010E33FC"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The EEA will not request consortia to have a given legal form in order to be allowed to submit a tender, but reserves the right to require a consortium to adopt a given legal form before the contract is signed if this change is necessary for proper performance of the contract. This can take the form of an entity with or without legal personality but offering sufficient protection to the EEA contractual interests (depending on the member countries concerned, this may be for instance, incorporation or partnership or a temporary association). Consortia must identify one of their members as coordinator who will interface with the EEA.</w:t>
      </w:r>
    </w:p>
    <w:p w14:paraId="18ECEB38"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Each member of a consortium must fulfil the conditions for participation mentioned in this section and section 4.1 above and provide the required documents listed in these tender specifications under sections 9.1 and 9.2 below. Therefore, each member of a consortium shall specify his role, qualifications and experience.</w:t>
      </w:r>
    </w:p>
    <w:p w14:paraId="54087E50" w14:textId="77777777" w:rsidR="005F1495" w:rsidRPr="00CB731B" w:rsidRDefault="005F1495" w:rsidP="005F1495">
      <w:pPr>
        <w:pStyle w:val="ListBullet1"/>
        <w:numPr>
          <w:ilvl w:val="0"/>
          <w:numId w:val="0"/>
        </w:numPr>
        <w:spacing w:before="120" w:after="120"/>
        <w:outlineLvl w:val="0"/>
        <w:rPr>
          <w:rFonts w:asciiTheme="minorHAnsi" w:hAnsiTheme="minorHAnsi" w:cs="Arial"/>
          <w:b/>
          <w:i/>
          <w:sz w:val="22"/>
          <w:szCs w:val="22"/>
          <w:lang w:val="en-GB"/>
        </w:rPr>
      </w:pPr>
      <w:r w:rsidRPr="00CB731B">
        <w:rPr>
          <w:rFonts w:asciiTheme="minorHAnsi" w:hAnsiTheme="minorHAnsi" w:cs="Arial"/>
          <w:b/>
          <w:i/>
          <w:sz w:val="22"/>
          <w:szCs w:val="22"/>
          <w:lang w:val="en-GB"/>
        </w:rPr>
        <w:t>4.3.</w:t>
      </w:r>
      <w:r w:rsidRPr="00CB731B">
        <w:rPr>
          <w:rFonts w:asciiTheme="minorHAnsi" w:hAnsiTheme="minorHAnsi" w:cs="Arial"/>
          <w:b/>
          <w:i/>
          <w:sz w:val="22"/>
          <w:szCs w:val="22"/>
          <w:lang w:val="en-GB"/>
        </w:rPr>
        <w:tab/>
        <w:t>Subcontracting</w:t>
      </w:r>
    </w:p>
    <w:p w14:paraId="64E2A687"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A contractor may subcontract part of the services.</w:t>
      </w:r>
    </w:p>
    <w:p w14:paraId="661B7AEF"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Tenderers must state what part of the work, if any, they intend to subcontract, and to what extent (for instance % of the total contract value), specifying the names, addresses and legal status of the subcontractors. If subcontracting is </w:t>
      </w:r>
      <w:r w:rsidRPr="00CB731B">
        <w:rPr>
          <w:rFonts w:asciiTheme="minorHAnsi" w:hAnsiTheme="minorHAnsi" w:cs="Arial"/>
          <w:b/>
          <w:sz w:val="22"/>
          <w:szCs w:val="22"/>
          <w:lang w:val="en-GB"/>
        </w:rPr>
        <w:t>not</w:t>
      </w:r>
      <w:r w:rsidRPr="00CB731B">
        <w:rPr>
          <w:rFonts w:asciiTheme="minorHAnsi" w:hAnsiTheme="minorHAnsi" w:cs="Arial"/>
          <w:sz w:val="22"/>
          <w:szCs w:val="22"/>
          <w:lang w:val="en-GB"/>
        </w:rPr>
        <w:t xml:space="preserve"> envisaged, tenderers shall clearly state so in the tender submission form (see annex 1).</w:t>
      </w:r>
    </w:p>
    <w:p w14:paraId="47480042" w14:textId="3D022653"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Legal persons must provide a document containing a list of the professional qualifications of the subcontractors and statement of the means of confidentiality when subcontractors are used. If awarded the contract, the contractor may not choose subcontractors other than those mentioned in the </w:t>
      </w:r>
      <w:r w:rsidR="002D72AA">
        <w:rPr>
          <w:rFonts w:asciiTheme="minorHAnsi" w:hAnsiTheme="minorHAnsi" w:cs="Arial"/>
          <w:sz w:val="22"/>
          <w:szCs w:val="22"/>
          <w:lang w:val="en-GB"/>
        </w:rPr>
        <w:t>tender</w:t>
      </w:r>
      <w:r w:rsidR="002D72AA" w:rsidRPr="00CB731B">
        <w:rPr>
          <w:rFonts w:asciiTheme="minorHAnsi" w:hAnsiTheme="minorHAnsi" w:cs="Arial"/>
          <w:sz w:val="22"/>
          <w:szCs w:val="22"/>
          <w:lang w:val="en-GB"/>
        </w:rPr>
        <w:t xml:space="preserve"> </w:t>
      </w:r>
      <w:r w:rsidRPr="00CB731B">
        <w:rPr>
          <w:rFonts w:asciiTheme="minorHAnsi" w:hAnsiTheme="minorHAnsi" w:cs="Arial"/>
          <w:sz w:val="22"/>
          <w:szCs w:val="22"/>
          <w:lang w:val="en-GB"/>
        </w:rPr>
        <w:t>unless he obtains the prior written authorisation of the EEA. The overall responsibility of the work remains with the contractor.</w:t>
      </w:r>
    </w:p>
    <w:p w14:paraId="303ED139"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Tenderers shall acknowledge (see annex 1) that the EEA reserves the right to request them at a later stage to provide documentation in relation to exclusion and selection criteria for any proposed subcontractors (see sections 9.1 and 9.2 below).</w:t>
      </w:r>
    </w:p>
    <w:p w14:paraId="74ED4B19" w14:textId="0D0FC4C4" w:rsidR="005F1495" w:rsidRPr="00CB731B" w:rsidRDefault="005F1495" w:rsidP="005F1495">
      <w:p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If awarded the contract, the contractor must ensure that Article II.17 of the draft framework contract (see annex 6) can be applied to subcontractors. Once the </w:t>
      </w:r>
      <w:r w:rsidR="002D72AA">
        <w:rPr>
          <w:rFonts w:asciiTheme="minorHAnsi" w:hAnsiTheme="minorHAnsi" w:cs="Arial"/>
          <w:sz w:val="22"/>
          <w:szCs w:val="22"/>
          <w:lang w:val="en-GB"/>
        </w:rPr>
        <w:t xml:space="preserve">framework </w:t>
      </w:r>
      <w:r w:rsidRPr="00CB731B">
        <w:rPr>
          <w:rFonts w:asciiTheme="minorHAnsi" w:hAnsiTheme="minorHAnsi" w:cs="Arial"/>
          <w:sz w:val="22"/>
          <w:szCs w:val="22"/>
          <w:lang w:val="en-GB"/>
        </w:rPr>
        <w:t xml:space="preserve">contract has been signed, Article II.12 </w:t>
      </w:r>
      <w:r w:rsidR="002D72AA">
        <w:rPr>
          <w:rFonts w:asciiTheme="minorHAnsi" w:hAnsiTheme="minorHAnsi" w:cs="Arial"/>
          <w:sz w:val="22"/>
          <w:szCs w:val="22"/>
          <w:lang w:val="en-GB"/>
        </w:rPr>
        <w:t>thereof</w:t>
      </w:r>
      <w:r w:rsidRPr="00CB731B">
        <w:rPr>
          <w:rFonts w:asciiTheme="minorHAnsi" w:hAnsiTheme="minorHAnsi" w:cs="Arial"/>
          <w:sz w:val="22"/>
          <w:szCs w:val="22"/>
          <w:lang w:val="en-GB"/>
        </w:rPr>
        <w:t xml:space="preserve"> shall govern subcontracting.</w:t>
      </w:r>
    </w:p>
    <w:p w14:paraId="4E6704A7" w14:textId="77777777" w:rsidR="005F1495" w:rsidRPr="00CB731B" w:rsidRDefault="005F1495" w:rsidP="005F1495">
      <w:pPr>
        <w:pStyle w:val="ListBullet1"/>
        <w:numPr>
          <w:ilvl w:val="0"/>
          <w:numId w:val="10"/>
        </w:numPr>
        <w:spacing w:before="120" w:after="120"/>
        <w:rPr>
          <w:rFonts w:asciiTheme="minorHAnsi" w:hAnsiTheme="minorHAnsi" w:cs="Arial"/>
          <w:b/>
          <w:sz w:val="22"/>
          <w:szCs w:val="22"/>
          <w:lang w:val="en-GB"/>
        </w:rPr>
      </w:pPr>
      <w:r w:rsidRPr="00CB731B">
        <w:rPr>
          <w:rFonts w:asciiTheme="minorHAnsi" w:hAnsiTheme="minorHAnsi" w:cs="Arial"/>
          <w:b/>
          <w:sz w:val="22"/>
          <w:szCs w:val="22"/>
          <w:lang w:val="en-GB"/>
        </w:rPr>
        <w:t xml:space="preserve">Contractual terms </w:t>
      </w:r>
    </w:p>
    <w:p w14:paraId="612A5D32" w14:textId="77777777" w:rsidR="005F1495" w:rsidRPr="00CB731B" w:rsidRDefault="005F1495" w:rsidP="005F1495">
      <w:pPr>
        <w:tabs>
          <w:tab w:val="num" w:pos="0"/>
        </w:tabs>
        <w:spacing w:before="120" w:after="120"/>
        <w:rPr>
          <w:rFonts w:asciiTheme="minorHAnsi" w:hAnsiTheme="minorHAnsi" w:cs="Arial"/>
          <w:iCs/>
          <w:sz w:val="22"/>
          <w:szCs w:val="22"/>
          <w:lang w:val="en-GB"/>
        </w:rPr>
      </w:pPr>
      <w:r w:rsidRPr="00CB731B">
        <w:rPr>
          <w:rFonts w:asciiTheme="minorHAnsi" w:hAnsiTheme="minorHAnsi" w:cs="Arial"/>
          <w:iCs/>
          <w:sz w:val="22"/>
          <w:szCs w:val="22"/>
          <w:lang w:val="en-GB"/>
        </w:rPr>
        <w:t xml:space="preserve">In drawing up their bid tenderers should bear in mind the provisions of the standard framework </w:t>
      </w:r>
      <w:r w:rsidR="00DB0431" w:rsidRPr="00CB731B">
        <w:rPr>
          <w:rFonts w:asciiTheme="minorHAnsi" w:hAnsiTheme="minorHAnsi" w:cs="Arial"/>
          <w:iCs/>
          <w:sz w:val="22"/>
          <w:szCs w:val="22"/>
          <w:lang w:val="en-GB"/>
        </w:rPr>
        <w:t xml:space="preserve">service </w:t>
      </w:r>
      <w:r w:rsidRPr="00CB731B">
        <w:rPr>
          <w:rFonts w:asciiTheme="minorHAnsi" w:hAnsiTheme="minorHAnsi" w:cs="Arial"/>
          <w:iCs/>
          <w:sz w:val="22"/>
          <w:szCs w:val="22"/>
          <w:lang w:val="en-GB"/>
        </w:rPr>
        <w:t>contract and standard order form attached to these tender specifications (annex 6).</w:t>
      </w:r>
      <w:r w:rsidR="002D72AA">
        <w:rPr>
          <w:rFonts w:asciiTheme="minorHAnsi" w:hAnsiTheme="minorHAnsi" w:cs="Arial"/>
          <w:iCs/>
          <w:sz w:val="22"/>
          <w:szCs w:val="22"/>
          <w:lang w:val="en-GB"/>
        </w:rPr>
        <w:t xml:space="preserve"> These address as well the invoicing and payment arrangements.</w:t>
      </w:r>
    </w:p>
    <w:p w14:paraId="314641E6" w14:textId="77777777" w:rsidR="005F1495" w:rsidRPr="00915094" w:rsidRDefault="005F1495" w:rsidP="005F1495">
      <w:pPr>
        <w:numPr>
          <w:ilvl w:val="0"/>
          <w:numId w:val="10"/>
        </w:numPr>
        <w:spacing w:before="120" w:after="120"/>
        <w:rPr>
          <w:rFonts w:asciiTheme="minorHAnsi" w:hAnsiTheme="minorHAnsi" w:cs="Arial"/>
          <w:b/>
          <w:sz w:val="22"/>
          <w:szCs w:val="22"/>
          <w:lang w:val="en-GB"/>
        </w:rPr>
      </w:pPr>
      <w:r w:rsidRPr="00915094">
        <w:rPr>
          <w:rFonts w:asciiTheme="minorHAnsi" w:hAnsiTheme="minorHAnsi" w:cs="Arial"/>
          <w:b/>
          <w:sz w:val="22"/>
          <w:szCs w:val="22"/>
          <w:lang w:val="en-GB"/>
        </w:rPr>
        <w:t>Subject of contract</w:t>
      </w:r>
    </w:p>
    <w:p w14:paraId="6F5ADC42" w14:textId="77777777" w:rsidR="004016CE" w:rsidRPr="00915D8C" w:rsidRDefault="004016CE" w:rsidP="00915094">
      <w:pPr>
        <w:pStyle w:val="ListParagraph"/>
        <w:numPr>
          <w:ilvl w:val="1"/>
          <w:numId w:val="10"/>
        </w:numPr>
        <w:spacing w:before="120" w:after="120"/>
        <w:rPr>
          <w:rFonts w:asciiTheme="minorHAnsi" w:hAnsiTheme="minorHAnsi"/>
          <w:i/>
          <w:sz w:val="22"/>
          <w:szCs w:val="22"/>
          <w:lang w:val="en-GB"/>
        </w:rPr>
      </w:pPr>
      <w:r w:rsidRPr="00915D8C">
        <w:rPr>
          <w:rFonts w:asciiTheme="minorHAnsi" w:hAnsiTheme="minorHAnsi"/>
          <w:i/>
          <w:sz w:val="22"/>
          <w:szCs w:val="22"/>
          <w:lang w:val="en-GB"/>
        </w:rPr>
        <w:t>Background</w:t>
      </w:r>
    </w:p>
    <w:p w14:paraId="0BC0C9AA" w14:textId="77777777" w:rsidR="004016CE" w:rsidRDefault="004016CE" w:rsidP="00915094">
      <w:pPr>
        <w:pStyle w:val="ListParagraph"/>
        <w:spacing w:before="120" w:after="120"/>
        <w:rPr>
          <w:rFonts w:asciiTheme="minorHAnsi" w:hAnsiTheme="minorHAnsi"/>
          <w:sz w:val="22"/>
          <w:szCs w:val="22"/>
          <w:lang w:val="en-GB"/>
        </w:rPr>
      </w:pPr>
    </w:p>
    <w:p w14:paraId="7E0531A1" w14:textId="77777777" w:rsidR="008429EB" w:rsidRPr="00915094" w:rsidRDefault="008429EB" w:rsidP="00915094">
      <w:pPr>
        <w:pStyle w:val="ListParagraph"/>
        <w:spacing w:before="120" w:after="120"/>
        <w:ind w:left="0"/>
        <w:rPr>
          <w:rFonts w:asciiTheme="minorHAnsi" w:hAnsiTheme="minorHAnsi"/>
          <w:sz w:val="22"/>
          <w:szCs w:val="22"/>
          <w:lang w:val="en-GB"/>
        </w:rPr>
      </w:pPr>
      <w:r w:rsidRPr="00915094">
        <w:rPr>
          <w:rFonts w:asciiTheme="minorHAnsi" w:hAnsiTheme="minorHAnsi"/>
          <w:sz w:val="22"/>
          <w:szCs w:val="22"/>
          <w:lang w:val="en-GB"/>
        </w:rPr>
        <w:t xml:space="preserve">At the EEA, </w:t>
      </w:r>
      <w:r w:rsidR="00F662EC" w:rsidRPr="00915094">
        <w:rPr>
          <w:rFonts w:asciiTheme="minorHAnsi" w:hAnsiTheme="minorHAnsi"/>
          <w:sz w:val="22"/>
          <w:szCs w:val="22"/>
          <w:lang w:val="en-GB"/>
        </w:rPr>
        <w:t>competencies</w:t>
      </w:r>
      <w:r w:rsidRPr="00915094">
        <w:rPr>
          <w:rFonts w:asciiTheme="minorHAnsi" w:hAnsiTheme="minorHAnsi"/>
          <w:sz w:val="22"/>
          <w:szCs w:val="22"/>
          <w:lang w:val="en-GB"/>
        </w:rPr>
        <w:t xml:space="preserve"> are described as </w:t>
      </w:r>
      <w:r w:rsidRPr="00915094">
        <w:rPr>
          <w:rFonts w:asciiTheme="minorHAnsi" w:hAnsiTheme="minorHAnsi"/>
          <w:i/>
          <w:sz w:val="22"/>
          <w:szCs w:val="22"/>
          <w:lang w:val="en-GB"/>
        </w:rPr>
        <w:t>knowledge</w:t>
      </w:r>
      <w:r w:rsidRPr="00915094">
        <w:rPr>
          <w:rFonts w:asciiTheme="minorHAnsi" w:hAnsiTheme="minorHAnsi"/>
          <w:sz w:val="22"/>
          <w:szCs w:val="22"/>
          <w:lang w:val="en-GB"/>
        </w:rPr>
        <w:t xml:space="preserve">, </w:t>
      </w:r>
      <w:r w:rsidRPr="00915094">
        <w:rPr>
          <w:rFonts w:asciiTheme="minorHAnsi" w:hAnsiTheme="minorHAnsi"/>
          <w:i/>
          <w:sz w:val="22"/>
          <w:szCs w:val="22"/>
          <w:lang w:val="en-GB"/>
        </w:rPr>
        <w:t>skills</w:t>
      </w:r>
      <w:r w:rsidRPr="00915094">
        <w:rPr>
          <w:rFonts w:asciiTheme="minorHAnsi" w:hAnsiTheme="minorHAnsi"/>
          <w:sz w:val="22"/>
          <w:szCs w:val="22"/>
          <w:lang w:val="en-GB"/>
        </w:rPr>
        <w:t xml:space="preserve"> and </w:t>
      </w:r>
      <w:r w:rsidRPr="00915094">
        <w:rPr>
          <w:rFonts w:asciiTheme="minorHAnsi" w:hAnsiTheme="minorHAnsi"/>
          <w:i/>
          <w:sz w:val="22"/>
          <w:szCs w:val="22"/>
          <w:lang w:val="en-GB"/>
        </w:rPr>
        <w:t>abilities</w:t>
      </w:r>
      <w:r w:rsidRPr="00915094">
        <w:rPr>
          <w:rFonts w:asciiTheme="minorHAnsi" w:hAnsiTheme="minorHAnsi"/>
          <w:sz w:val="22"/>
          <w:szCs w:val="22"/>
          <w:lang w:val="en-GB"/>
        </w:rPr>
        <w:t xml:space="preserve"> that are essential to perform at work.</w:t>
      </w:r>
      <w:r w:rsidR="00F662EC" w:rsidRPr="00915094">
        <w:rPr>
          <w:rFonts w:asciiTheme="minorHAnsi" w:hAnsiTheme="minorHAnsi"/>
          <w:sz w:val="22"/>
          <w:szCs w:val="22"/>
          <w:lang w:val="en-GB"/>
        </w:rPr>
        <w:t xml:space="preserve"> </w:t>
      </w:r>
      <w:r w:rsidRPr="00915094">
        <w:rPr>
          <w:rFonts w:asciiTheme="minorHAnsi" w:hAnsiTheme="minorHAnsi"/>
          <w:sz w:val="22"/>
          <w:szCs w:val="22"/>
          <w:lang w:val="en-GB"/>
        </w:rPr>
        <w:t>The</w:t>
      </w:r>
      <w:r w:rsidR="00F662EC" w:rsidRPr="00915094">
        <w:rPr>
          <w:rFonts w:asciiTheme="minorHAnsi" w:hAnsiTheme="minorHAnsi"/>
          <w:sz w:val="22"/>
          <w:szCs w:val="22"/>
          <w:lang w:val="en-GB"/>
        </w:rPr>
        <w:t xml:space="preserve"> </w:t>
      </w:r>
      <w:r w:rsidR="00F662EC" w:rsidRPr="00915094">
        <w:rPr>
          <w:rFonts w:asciiTheme="minorHAnsi" w:hAnsiTheme="minorHAnsi"/>
          <w:i/>
          <w:sz w:val="22"/>
          <w:szCs w:val="22"/>
          <w:lang w:val="en-GB"/>
        </w:rPr>
        <w:t>EEA Training Policy</w:t>
      </w:r>
      <w:r w:rsidR="00F662EC" w:rsidRPr="00915094">
        <w:rPr>
          <w:rFonts w:asciiTheme="minorHAnsi" w:hAnsiTheme="minorHAnsi"/>
          <w:sz w:val="22"/>
          <w:szCs w:val="22"/>
          <w:lang w:val="en-GB"/>
        </w:rPr>
        <w:t xml:space="preserve"> </w:t>
      </w:r>
      <w:r w:rsidRPr="00915094">
        <w:rPr>
          <w:rFonts w:asciiTheme="minorHAnsi" w:hAnsiTheme="minorHAnsi"/>
          <w:sz w:val="22"/>
          <w:szCs w:val="22"/>
          <w:lang w:val="en-GB"/>
        </w:rPr>
        <w:t>does explore the approach to competencies and competency development, and it does propose a competencies’ taxonomy. However, it does not propose and does not relate to an existing competency framework as such.</w:t>
      </w:r>
    </w:p>
    <w:p w14:paraId="284DFA81" w14:textId="77777777" w:rsidR="008429EB" w:rsidRPr="00CB731B" w:rsidRDefault="008429EB" w:rsidP="008429EB">
      <w:pPr>
        <w:spacing w:before="120" w:after="120"/>
        <w:rPr>
          <w:rFonts w:asciiTheme="minorHAnsi" w:hAnsiTheme="minorHAnsi"/>
          <w:sz w:val="22"/>
          <w:szCs w:val="22"/>
          <w:lang w:val="en-GB"/>
        </w:rPr>
      </w:pPr>
      <w:r w:rsidRPr="00CB731B">
        <w:rPr>
          <w:rFonts w:asciiTheme="minorHAnsi" w:hAnsiTheme="minorHAnsi"/>
          <w:sz w:val="22"/>
          <w:szCs w:val="22"/>
          <w:lang w:val="en-GB"/>
        </w:rPr>
        <w:lastRenderedPageBreak/>
        <w:t xml:space="preserve">The </w:t>
      </w:r>
      <w:r w:rsidRPr="00CB731B">
        <w:rPr>
          <w:rFonts w:asciiTheme="minorHAnsi" w:hAnsiTheme="minorHAnsi"/>
          <w:i/>
          <w:sz w:val="22"/>
          <w:szCs w:val="22"/>
          <w:lang w:val="en-GB"/>
        </w:rPr>
        <w:t>EEA Career Development Cycle (CDC)</w:t>
      </w:r>
      <w:r w:rsidRPr="00CB731B">
        <w:rPr>
          <w:rFonts w:asciiTheme="minorHAnsi" w:hAnsiTheme="minorHAnsi"/>
          <w:sz w:val="22"/>
          <w:szCs w:val="22"/>
          <w:lang w:val="en-GB"/>
        </w:rPr>
        <w:t xml:space="preserve"> includes a section for development needs, where competencies – or the competency gap – is to be addressed. It is done, amongst other, based on the agreed objectives and performance indicators and in relation with the job functions and duties. However, there is no framework that defines which competencies are needed and valued for a given job, function or task, in a way that is commonly understood by all stakeholders within the organisation. Very often, both staff members and line-</w:t>
      </w:r>
      <w:proofErr w:type="spellStart"/>
      <w:r w:rsidRPr="00CB731B">
        <w:rPr>
          <w:rFonts w:asciiTheme="minorHAnsi" w:hAnsiTheme="minorHAnsi"/>
          <w:sz w:val="22"/>
          <w:szCs w:val="22"/>
          <w:lang w:val="en-GB"/>
        </w:rPr>
        <w:t>managers</w:t>
      </w:r>
      <w:proofErr w:type="spellEnd"/>
      <w:r w:rsidRPr="00CB731B">
        <w:rPr>
          <w:rFonts w:asciiTheme="minorHAnsi" w:hAnsiTheme="minorHAnsi"/>
          <w:sz w:val="22"/>
          <w:szCs w:val="22"/>
          <w:lang w:val="en-GB"/>
        </w:rPr>
        <w:t xml:space="preserve"> report difficulty in identifying and defining (even verbalizing) the competencies at stake.</w:t>
      </w:r>
    </w:p>
    <w:p w14:paraId="528FFB02" w14:textId="77777777" w:rsidR="008429EB" w:rsidRPr="00CB731B" w:rsidRDefault="00F662EC" w:rsidP="00F662EC">
      <w:pPr>
        <w:spacing w:before="120" w:after="120"/>
        <w:rPr>
          <w:rFonts w:asciiTheme="minorHAnsi" w:hAnsiTheme="minorHAnsi"/>
          <w:sz w:val="22"/>
          <w:szCs w:val="22"/>
          <w:lang w:val="en-GB"/>
        </w:rPr>
      </w:pPr>
      <w:r w:rsidRPr="00CB731B">
        <w:rPr>
          <w:rFonts w:asciiTheme="minorHAnsi" w:hAnsiTheme="minorHAnsi"/>
          <w:sz w:val="22"/>
          <w:szCs w:val="22"/>
          <w:lang w:val="en-GB"/>
        </w:rPr>
        <w:t xml:space="preserve">In this context, EEA management called upon </w:t>
      </w:r>
      <w:r w:rsidR="008429EB" w:rsidRPr="00CB731B">
        <w:rPr>
          <w:rFonts w:asciiTheme="minorHAnsi" w:hAnsiTheme="minorHAnsi"/>
          <w:sz w:val="22"/>
          <w:szCs w:val="22"/>
          <w:lang w:val="en-GB"/>
        </w:rPr>
        <w:t xml:space="preserve">engaging in a more comprehensive process towards </w:t>
      </w:r>
      <w:proofErr w:type="gramStart"/>
      <w:r w:rsidR="008429EB" w:rsidRPr="00CB731B">
        <w:rPr>
          <w:rFonts w:asciiTheme="minorHAnsi" w:hAnsiTheme="minorHAnsi"/>
          <w:sz w:val="22"/>
          <w:szCs w:val="22"/>
          <w:lang w:val="en-GB"/>
        </w:rPr>
        <w:t>a</w:t>
      </w:r>
      <w:proofErr w:type="gramEnd"/>
      <w:r w:rsidR="008429EB" w:rsidRPr="00CB731B">
        <w:rPr>
          <w:rFonts w:asciiTheme="minorHAnsi" w:hAnsiTheme="minorHAnsi"/>
          <w:sz w:val="22"/>
          <w:szCs w:val="22"/>
          <w:lang w:val="en-GB"/>
        </w:rPr>
        <w:t xml:space="preserve"> </w:t>
      </w:r>
      <w:r w:rsidR="008429EB" w:rsidRPr="00CB731B">
        <w:rPr>
          <w:rFonts w:asciiTheme="minorHAnsi" w:hAnsiTheme="minorHAnsi"/>
          <w:b/>
          <w:sz w:val="22"/>
          <w:szCs w:val="22"/>
          <w:lang w:val="en-GB"/>
        </w:rPr>
        <w:t>EEA competency framework</w:t>
      </w:r>
      <w:r w:rsidR="008429EB" w:rsidRPr="00CB731B">
        <w:rPr>
          <w:rFonts w:asciiTheme="minorHAnsi" w:hAnsiTheme="minorHAnsi"/>
          <w:sz w:val="22"/>
          <w:szCs w:val="22"/>
          <w:lang w:val="en-GB"/>
        </w:rPr>
        <w:t xml:space="preserve">. That </w:t>
      </w:r>
      <w:r w:rsidRPr="00CB731B">
        <w:rPr>
          <w:rFonts w:asciiTheme="minorHAnsi" w:hAnsiTheme="minorHAnsi"/>
          <w:sz w:val="22"/>
          <w:szCs w:val="22"/>
          <w:lang w:val="en-GB"/>
        </w:rPr>
        <w:t>would entail</w:t>
      </w:r>
      <w:r w:rsidR="008429EB" w:rsidRPr="00CB731B">
        <w:rPr>
          <w:rFonts w:asciiTheme="minorHAnsi" w:hAnsiTheme="minorHAnsi"/>
          <w:sz w:val="22"/>
          <w:szCs w:val="22"/>
          <w:lang w:val="en-GB"/>
        </w:rPr>
        <w:t xml:space="preserve"> a systematic and thorough analysis of specific tasks and responsibilities and inherent competences (defined by knowledge, skills and abilities). </w:t>
      </w:r>
      <w:r w:rsidRPr="00CB731B">
        <w:rPr>
          <w:rFonts w:asciiTheme="minorHAnsi" w:hAnsiTheme="minorHAnsi"/>
          <w:sz w:val="22"/>
          <w:szCs w:val="22"/>
          <w:lang w:val="en-GB"/>
        </w:rPr>
        <w:t xml:space="preserve">It is our understanding that a </w:t>
      </w:r>
      <w:r w:rsidR="008429EB" w:rsidRPr="00CB731B">
        <w:rPr>
          <w:rFonts w:asciiTheme="minorHAnsi" w:hAnsiTheme="minorHAnsi"/>
          <w:sz w:val="22"/>
          <w:szCs w:val="22"/>
          <w:lang w:val="en-GB"/>
        </w:rPr>
        <w:t xml:space="preserve">comprehensive and well-crafted competency framework can serve as a hub for </w:t>
      </w:r>
      <w:r w:rsidRPr="00CB731B">
        <w:rPr>
          <w:rFonts w:asciiTheme="minorHAnsi" w:hAnsiTheme="minorHAnsi"/>
          <w:sz w:val="22"/>
          <w:szCs w:val="22"/>
          <w:lang w:val="en-GB"/>
        </w:rPr>
        <w:t xml:space="preserve">a “competence-based management” approach, </w:t>
      </w:r>
      <w:r w:rsidRPr="00151B5D">
        <w:rPr>
          <w:rFonts w:asciiTheme="minorHAnsi" w:hAnsiTheme="minorHAnsi"/>
          <w:b/>
          <w:sz w:val="22"/>
          <w:szCs w:val="22"/>
          <w:lang w:val="en-GB"/>
        </w:rPr>
        <w:t xml:space="preserve">integrating a </w:t>
      </w:r>
      <w:r w:rsidR="008429EB" w:rsidRPr="00151B5D">
        <w:rPr>
          <w:rFonts w:asciiTheme="minorHAnsi" w:hAnsiTheme="minorHAnsi"/>
          <w:b/>
          <w:sz w:val="22"/>
          <w:szCs w:val="22"/>
          <w:lang w:val="en-GB"/>
        </w:rPr>
        <w:t xml:space="preserve">variety of </w:t>
      </w:r>
      <w:r w:rsidRPr="00151B5D">
        <w:rPr>
          <w:rFonts w:asciiTheme="minorHAnsi" w:hAnsiTheme="minorHAnsi"/>
          <w:b/>
          <w:sz w:val="22"/>
          <w:szCs w:val="22"/>
          <w:lang w:val="en-GB"/>
        </w:rPr>
        <w:t>HR-related areas</w:t>
      </w:r>
      <w:r w:rsidRPr="00CB731B">
        <w:rPr>
          <w:rFonts w:asciiTheme="minorHAnsi" w:hAnsiTheme="minorHAnsi"/>
          <w:sz w:val="22"/>
          <w:szCs w:val="22"/>
          <w:lang w:val="en-GB"/>
        </w:rPr>
        <w:t xml:space="preserve"> </w:t>
      </w:r>
      <w:r w:rsidR="008429EB" w:rsidRPr="00CB731B">
        <w:rPr>
          <w:rFonts w:asciiTheme="minorHAnsi" w:hAnsiTheme="minorHAnsi"/>
          <w:sz w:val="22"/>
          <w:szCs w:val="22"/>
          <w:lang w:val="en-GB"/>
        </w:rPr>
        <w:t>such as:</w:t>
      </w:r>
      <w:r w:rsidRPr="00CB731B">
        <w:rPr>
          <w:rFonts w:asciiTheme="minorHAnsi" w:hAnsiTheme="minorHAnsi"/>
          <w:sz w:val="22"/>
          <w:szCs w:val="22"/>
          <w:lang w:val="en-GB"/>
        </w:rPr>
        <w:t xml:space="preserve"> </w:t>
      </w:r>
      <w:r w:rsidR="008429EB" w:rsidRPr="00CB731B">
        <w:rPr>
          <w:rFonts w:asciiTheme="minorHAnsi" w:hAnsiTheme="minorHAnsi"/>
          <w:sz w:val="22"/>
          <w:szCs w:val="22"/>
          <w:lang w:val="en-GB"/>
        </w:rPr>
        <w:t>learning and development</w:t>
      </w:r>
      <w:r w:rsidRPr="00CB731B">
        <w:rPr>
          <w:rFonts w:asciiTheme="minorHAnsi" w:hAnsiTheme="minorHAnsi"/>
          <w:sz w:val="22"/>
          <w:szCs w:val="22"/>
          <w:lang w:val="en-GB"/>
        </w:rPr>
        <w:t xml:space="preserve">, </w:t>
      </w:r>
      <w:r w:rsidR="008429EB" w:rsidRPr="00CB731B">
        <w:rPr>
          <w:rFonts w:asciiTheme="minorHAnsi" w:hAnsiTheme="minorHAnsi"/>
          <w:sz w:val="22"/>
          <w:szCs w:val="22"/>
          <w:lang w:val="en-GB"/>
        </w:rPr>
        <w:t>recruitment and selection</w:t>
      </w:r>
      <w:r w:rsidRPr="00CB731B">
        <w:rPr>
          <w:rFonts w:asciiTheme="minorHAnsi" w:hAnsiTheme="minorHAnsi"/>
          <w:sz w:val="22"/>
          <w:szCs w:val="22"/>
          <w:lang w:val="en-GB"/>
        </w:rPr>
        <w:t xml:space="preserve">, </w:t>
      </w:r>
      <w:r w:rsidR="008429EB" w:rsidRPr="00CB731B">
        <w:rPr>
          <w:rFonts w:asciiTheme="minorHAnsi" w:hAnsiTheme="minorHAnsi"/>
          <w:sz w:val="22"/>
          <w:szCs w:val="22"/>
          <w:lang w:val="en-GB"/>
        </w:rPr>
        <w:t>appraisals and performance management</w:t>
      </w:r>
      <w:r w:rsidRPr="00CB731B">
        <w:rPr>
          <w:rFonts w:asciiTheme="minorHAnsi" w:hAnsiTheme="minorHAnsi"/>
          <w:sz w:val="22"/>
          <w:szCs w:val="22"/>
          <w:lang w:val="en-GB"/>
        </w:rPr>
        <w:t xml:space="preserve">, </w:t>
      </w:r>
      <w:r w:rsidR="008429EB" w:rsidRPr="00CB731B">
        <w:rPr>
          <w:rFonts w:asciiTheme="minorHAnsi" w:hAnsiTheme="minorHAnsi"/>
          <w:sz w:val="22"/>
          <w:szCs w:val="22"/>
          <w:lang w:val="en-GB"/>
        </w:rPr>
        <w:t>promotions</w:t>
      </w:r>
      <w:r w:rsidRPr="00CB731B">
        <w:rPr>
          <w:rFonts w:asciiTheme="minorHAnsi" w:hAnsiTheme="minorHAnsi"/>
          <w:sz w:val="22"/>
          <w:szCs w:val="22"/>
          <w:lang w:val="en-GB"/>
        </w:rPr>
        <w:t xml:space="preserve">, </w:t>
      </w:r>
      <w:r w:rsidR="008429EB" w:rsidRPr="00CB731B">
        <w:rPr>
          <w:rFonts w:asciiTheme="minorHAnsi" w:hAnsiTheme="minorHAnsi"/>
          <w:sz w:val="22"/>
          <w:szCs w:val="22"/>
          <w:lang w:val="en-GB"/>
        </w:rPr>
        <w:t>risk analysis and resource planning</w:t>
      </w:r>
      <w:r w:rsidR="002D72AA">
        <w:rPr>
          <w:rFonts w:asciiTheme="minorHAnsi" w:hAnsiTheme="minorHAnsi"/>
          <w:sz w:val="22"/>
          <w:szCs w:val="22"/>
          <w:lang w:val="en-GB"/>
        </w:rPr>
        <w:t>.</w:t>
      </w:r>
    </w:p>
    <w:p w14:paraId="789D54E3" w14:textId="77777777" w:rsidR="008429EB" w:rsidRPr="00CB731B" w:rsidRDefault="00B1177E" w:rsidP="008429EB">
      <w:pPr>
        <w:spacing w:before="120" w:after="120"/>
        <w:rPr>
          <w:rFonts w:asciiTheme="minorHAnsi" w:hAnsiTheme="minorHAnsi"/>
          <w:sz w:val="22"/>
          <w:szCs w:val="22"/>
          <w:lang w:val="en-GB"/>
        </w:rPr>
      </w:pPr>
      <w:r w:rsidRPr="00CB731B">
        <w:rPr>
          <w:rFonts w:asciiTheme="minorHAnsi" w:hAnsiTheme="minorHAnsi"/>
          <w:sz w:val="22"/>
          <w:szCs w:val="22"/>
          <w:lang w:val="en-GB"/>
        </w:rPr>
        <w:t xml:space="preserve">At the EEA </w:t>
      </w:r>
      <w:r w:rsidR="008F0599" w:rsidRPr="00CB731B">
        <w:rPr>
          <w:rFonts w:asciiTheme="minorHAnsi" w:hAnsiTheme="minorHAnsi"/>
          <w:sz w:val="22"/>
          <w:szCs w:val="22"/>
          <w:lang w:val="en-GB"/>
        </w:rPr>
        <w:t xml:space="preserve">there are </w:t>
      </w:r>
      <w:r w:rsidRPr="00CB731B">
        <w:rPr>
          <w:rFonts w:asciiTheme="minorHAnsi" w:hAnsiTheme="minorHAnsi"/>
          <w:sz w:val="22"/>
          <w:szCs w:val="22"/>
          <w:lang w:val="en-GB"/>
        </w:rPr>
        <w:t xml:space="preserve">approx. 35 </w:t>
      </w:r>
      <w:r w:rsidR="008F0599" w:rsidRPr="00CB731B">
        <w:rPr>
          <w:rFonts w:asciiTheme="minorHAnsi" w:hAnsiTheme="minorHAnsi"/>
          <w:sz w:val="22"/>
          <w:szCs w:val="22"/>
          <w:lang w:val="en-GB"/>
        </w:rPr>
        <w:t>line-</w:t>
      </w:r>
      <w:r w:rsidRPr="00CB731B">
        <w:rPr>
          <w:rFonts w:asciiTheme="minorHAnsi" w:hAnsiTheme="minorHAnsi"/>
          <w:sz w:val="22"/>
          <w:szCs w:val="22"/>
          <w:lang w:val="en-GB"/>
        </w:rPr>
        <w:t xml:space="preserve">managers </w:t>
      </w:r>
      <w:r w:rsidR="008F0599" w:rsidRPr="00CB731B">
        <w:rPr>
          <w:rFonts w:asciiTheme="minorHAnsi" w:hAnsiTheme="minorHAnsi"/>
          <w:sz w:val="22"/>
          <w:szCs w:val="22"/>
          <w:lang w:val="en-GB"/>
        </w:rPr>
        <w:t xml:space="preserve">(incl. 9 senior managers). </w:t>
      </w:r>
      <w:r w:rsidR="008429EB" w:rsidRPr="00CB731B">
        <w:rPr>
          <w:rFonts w:asciiTheme="minorHAnsi" w:hAnsiTheme="minorHAnsi"/>
          <w:sz w:val="22"/>
          <w:szCs w:val="22"/>
          <w:lang w:val="en-GB"/>
        </w:rPr>
        <w:t>In the frame of the</w:t>
      </w:r>
      <w:r w:rsidR="008F0599" w:rsidRPr="00CB731B">
        <w:rPr>
          <w:rFonts w:asciiTheme="minorHAnsi" w:hAnsiTheme="minorHAnsi"/>
          <w:sz w:val="22"/>
          <w:szCs w:val="22"/>
          <w:lang w:val="en-GB"/>
        </w:rPr>
        <w:t xml:space="preserve"> EEA Leadership Development Programme, </w:t>
      </w:r>
      <w:r w:rsidR="008429EB" w:rsidRPr="00CB731B">
        <w:rPr>
          <w:rFonts w:asciiTheme="minorHAnsi" w:hAnsiTheme="minorHAnsi"/>
          <w:sz w:val="22"/>
          <w:szCs w:val="22"/>
          <w:lang w:val="en-GB"/>
        </w:rPr>
        <w:t>most managers went through an individual assessment process that involved specialized psychometric tests and feedback. That was done based on the previously defined</w:t>
      </w:r>
      <w:r w:rsidR="008F0599" w:rsidRPr="00CB731B">
        <w:rPr>
          <w:rFonts w:asciiTheme="minorHAnsi" w:hAnsiTheme="minorHAnsi"/>
          <w:sz w:val="22"/>
          <w:szCs w:val="22"/>
          <w:lang w:val="en-GB"/>
        </w:rPr>
        <w:t xml:space="preserve"> “EEA </w:t>
      </w:r>
      <w:r w:rsidR="00151B5D">
        <w:rPr>
          <w:rFonts w:asciiTheme="minorHAnsi" w:hAnsiTheme="minorHAnsi"/>
          <w:sz w:val="22"/>
          <w:szCs w:val="22"/>
          <w:lang w:val="en-GB"/>
        </w:rPr>
        <w:t xml:space="preserve">Key </w:t>
      </w:r>
      <w:r w:rsidR="008F0599" w:rsidRPr="00CB731B">
        <w:rPr>
          <w:rFonts w:asciiTheme="minorHAnsi" w:hAnsiTheme="minorHAnsi"/>
          <w:sz w:val="22"/>
          <w:szCs w:val="22"/>
          <w:lang w:val="en-GB"/>
        </w:rPr>
        <w:t xml:space="preserve">Leadership Competencies”. </w:t>
      </w:r>
    </w:p>
    <w:p w14:paraId="46CE8E83" w14:textId="77777777" w:rsidR="008429EB" w:rsidRPr="00CB731B" w:rsidRDefault="008429EB" w:rsidP="008429EB">
      <w:pPr>
        <w:spacing w:before="120" w:after="120"/>
        <w:rPr>
          <w:rFonts w:asciiTheme="minorHAnsi" w:hAnsiTheme="minorHAnsi"/>
          <w:sz w:val="22"/>
          <w:szCs w:val="22"/>
          <w:lang w:val="en-GB"/>
        </w:rPr>
      </w:pPr>
      <w:r w:rsidRPr="00CB731B">
        <w:rPr>
          <w:rFonts w:asciiTheme="minorHAnsi" w:hAnsiTheme="minorHAnsi"/>
          <w:sz w:val="22"/>
          <w:szCs w:val="22"/>
          <w:lang w:val="en-GB"/>
        </w:rPr>
        <w:t>Such assessments did not involve any of the managers’ peers, line-managers or group/programme staff members. The EEA does not have in place an assessment/evaluation system that incorporates feedback from others rather than the line-manager. Various managers reported the need for such a tool.</w:t>
      </w:r>
      <w:r w:rsidR="008F0599" w:rsidRPr="00CB731B">
        <w:rPr>
          <w:rFonts w:asciiTheme="minorHAnsi" w:hAnsiTheme="minorHAnsi"/>
          <w:sz w:val="22"/>
          <w:szCs w:val="22"/>
          <w:lang w:val="en-GB"/>
        </w:rPr>
        <w:t xml:space="preserve"> </w:t>
      </w:r>
    </w:p>
    <w:p w14:paraId="7D3E0FC7" w14:textId="77777777" w:rsidR="008429EB" w:rsidRPr="00CB731B" w:rsidRDefault="008F0599" w:rsidP="008429EB">
      <w:pPr>
        <w:spacing w:before="120" w:after="120"/>
        <w:rPr>
          <w:rFonts w:asciiTheme="minorHAnsi" w:hAnsiTheme="minorHAnsi"/>
          <w:sz w:val="22"/>
          <w:szCs w:val="22"/>
          <w:lang w:val="en-GB"/>
        </w:rPr>
      </w:pPr>
      <w:r w:rsidRPr="00CB731B">
        <w:rPr>
          <w:rFonts w:asciiTheme="minorHAnsi" w:hAnsiTheme="minorHAnsi"/>
          <w:sz w:val="22"/>
          <w:szCs w:val="22"/>
          <w:lang w:val="en-GB"/>
        </w:rPr>
        <w:t>EEA management therefore called upon setting-up a</w:t>
      </w:r>
      <w:r w:rsidR="008429EB" w:rsidRPr="00CB731B">
        <w:rPr>
          <w:rFonts w:asciiTheme="minorHAnsi" w:hAnsiTheme="minorHAnsi"/>
          <w:sz w:val="22"/>
          <w:szCs w:val="22"/>
          <w:lang w:val="en-GB"/>
        </w:rPr>
        <w:t xml:space="preserve"> </w:t>
      </w:r>
      <w:r w:rsidR="008429EB" w:rsidRPr="00CB731B">
        <w:rPr>
          <w:rFonts w:asciiTheme="minorHAnsi" w:hAnsiTheme="minorHAnsi"/>
          <w:b/>
          <w:sz w:val="22"/>
          <w:szCs w:val="22"/>
          <w:lang w:val="en-GB"/>
        </w:rPr>
        <w:t>360º assessment</w:t>
      </w:r>
      <w:r w:rsidR="008429EB" w:rsidRPr="00CB731B">
        <w:rPr>
          <w:rFonts w:asciiTheme="minorHAnsi" w:hAnsiTheme="minorHAnsi"/>
          <w:sz w:val="22"/>
          <w:szCs w:val="22"/>
          <w:lang w:val="en-GB"/>
        </w:rPr>
        <w:t xml:space="preserve"> tool, intimately articulated with </w:t>
      </w:r>
      <w:r w:rsidR="00FB6F38" w:rsidRPr="00CB731B">
        <w:rPr>
          <w:rFonts w:asciiTheme="minorHAnsi" w:hAnsiTheme="minorHAnsi"/>
          <w:sz w:val="22"/>
          <w:szCs w:val="22"/>
          <w:lang w:val="en-GB"/>
        </w:rPr>
        <w:t xml:space="preserve">the </w:t>
      </w:r>
      <w:r w:rsidR="008429EB" w:rsidRPr="00CB731B">
        <w:rPr>
          <w:rFonts w:asciiTheme="minorHAnsi" w:hAnsiTheme="minorHAnsi"/>
          <w:sz w:val="22"/>
          <w:szCs w:val="22"/>
          <w:lang w:val="en-GB"/>
        </w:rPr>
        <w:t>competency framework</w:t>
      </w:r>
      <w:r w:rsidR="00FB6F38" w:rsidRPr="00CB731B">
        <w:rPr>
          <w:rFonts w:asciiTheme="minorHAnsi" w:hAnsiTheme="minorHAnsi"/>
          <w:sz w:val="22"/>
          <w:szCs w:val="22"/>
          <w:lang w:val="en-GB"/>
        </w:rPr>
        <w:t>.</w:t>
      </w:r>
    </w:p>
    <w:p w14:paraId="50F03D7A" w14:textId="77777777" w:rsidR="008429EB" w:rsidRPr="00CB731B" w:rsidRDefault="008429EB" w:rsidP="008429EB">
      <w:pPr>
        <w:spacing w:before="120" w:after="120"/>
        <w:rPr>
          <w:rFonts w:asciiTheme="minorHAnsi" w:hAnsiTheme="minorHAnsi" w:cs="Arial"/>
          <w:sz w:val="22"/>
          <w:szCs w:val="22"/>
          <w:lang w:val="en-GB"/>
        </w:rPr>
      </w:pPr>
    </w:p>
    <w:p w14:paraId="2B7358A6" w14:textId="57FD3E24" w:rsidR="005F1495" w:rsidRPr="00CB731B" w:rsidRDefault="00D70E6A" w:rsidP="005F1495">
      <w:pPr>
        <w:outlineLvl w:val="0"/>
        <w:rPr>
          <w:rFonts w:asciiTheme="minorHAnsi" w:hAnsiTheme="minorHAnsi" w:cs="Arial"/>
          <w:i/>
          <w:sz w:val="22"/>
          <w:szCs w:val="22"/>
          <w:lang w:val="en-GB"/>
        </w:rPr>
      </w:pPr>
      <w:r w:rsidRPr="00CB731B">
        <w:rPr>
          <w:rFonts w:asciiTheme="minorHAnsi" w:hAnsiTheme="minorHAnsi" w:cs="Arial"/>
          <w:i/>
          <w:sz w:val="22"/>
          <w:szCs w:val="22"/>
          <w:lang w:val="en-GB"/>
        </w:rPr>
        <w:t>6.</w:t>
      </w:r>
      <w:r w:rsidR="004016CE">
        <w:rPr>
          <w:rFonts w:asciiTheme="minorHAnsi" w:hAnsiTheme="minorHAnsi" w:cs="Arial"/>
          <w:i/>
          <w:sz w:val="22"/>
          <w:szCs w:val="22"/>
          <w:lang w:val="en-GB"/>
        </w:rPr>
        <w:t>2</w:t>
      </w:r>
      <w:r w:rsidRPr="00CB731B">
        <w:rPr>
          <w:rFonts w:asciiTheme="minorHAnsi" w:hAnsiTheme="minorHAnsi" w:cs="Arial"/>
          <w:i/>
          <w:sz w:val="22"/>
          <w:szCs w:val="22"/>
          <w:lang w:val="en-GB"/>
        </w:rPr>
        <w:tab/>
        <w:t>Services to be provided</w:t>
      </w:r>
    </w:p>
    <w:p w14:paraId="031C9E4B" w14:textId="75DB9323" w:rsidR="00933994" w:rsidRPr="00933994" w:rsidRDefault="00933994" w:rsidP="00933994">
      <w:pPr>
        <w:spacing w:after="0"/>
        <w:rPr>
          <w:rFonts w:asciiTheme="minorHAnsi" w:eastAsiaTheme="minorHAnsi" w:hAnsiTheme="minorHAnsi" w:cstheme="minorHAnsi"/>
          <w:sz w:val="22"/>
          <w:szCs w:val="22"/>
          <w:lang w:val="en-GB"/>
        </w:rPr>
      </w:pPr>
      <w:r w:rsidRPr="00933994">
        <w:rPr>
          <w:rFonts w:asciiTheme="minorHAnsi" w:eastAsiaTheme="minorHAnsi" w:hAnsiTheme="minorHAnsi" w:cstheme="minorHAnsi"/>
          <w:sz w:val="22"/>
          <w:szCs w:val="22"/>
          <w:lang w:val="en-GB"/>
        </w:rPr>
        <w:t>Under request from the EEA, the selected contractor is expected to deliver the services as</w:t>
      </w:r>
      <w:r>
        <w:rPr>
          <w:rFonts w:asciiTheme="minorHAnsi" w:eastAsiaTheme="minorHAnsi" w:hAnsiTheme="minorHAnsi" w:cstheme="minorHAnsi"/>
          <w:sz w:val="22"/>
          <w:szCs w:val="22"/>
          <w:lang w:val="en-GB"/>
        </w:rPr>
        <w:t xml:space="preserve"> </w:t>
      </w:r>
      <w:r w:rsidR="004016CE">
        <w:rPr>
          <w:rFonts w:asciiTheme="minorHAnsi" w:eastAsiaTheme="minorHAnsi" w:hAnsiTheme="minorHAnsi" w:cstheme="minorHAnsi"/>
          <w:sz w:val="22"/>
          <w:szCs w:val="22"/>
          <w:lang w:val="en-GB"/>
        </w:rPr>
        <w:t>described</w:t>
      </w:r>
      <w:r w:rsidR="004016CE" w:rsidRPr="00933994">
        <w:rPr>
          <w:rFonts w:asciiTheme="minorHAnsi" w:eastAsiaTheme="minorHAnsi" w:hAnsiTheme="minorHAnsi" w:cstheme="minorHAnsi"/>
          <w:sz w:val="22"/>
          <w:szCs w:val="22"/>
          <w:lang w:val="en-GB"/>
        </w:rPr>
        <w:t xml:space="preserve"> </w:t>
      </w:r>
      <w:r w:rsidRPr="00933994">
        <w:rPr>
          <w:rFonts w:asciiTheme="minorHAnsi" w:eastAsiaTheme="minorHAnsi" w:hAnsiTheme="minorHAnsi" w:cstheme="minorHAnsi"/>
          <w:sz w:val="22"/>
          <w:szCs w:val="22"/>
          <w:lang w:val="en-GB"/>
        </w:rPr>
        <w:t>in these tender specifications</w:t>
      </w:r>
      <w:r w:rsidR="004016CE">
        <w:rPr>
          <w:rFonts w:asciiTheme="minorHAnsi" w:eastAsiaTheme="minorHAnsi" w:hAnsiTheme="minorHAnsi" w:cstheme="minorHAnsi"/>
          <w:sz w:val="22"/>
          <w:szCs w:val="22"/>
          <w:lang w:val="en-GB"/>
        </w:rPr>
        <w:t xml:space="preserve"> and according to the following:</w:t>
      </w:r>
      <w:r w:rsidR="00CA4F0F">
        <w:rPr>
          <w:rFonts w:asciiTheme="minorHAnsi" w:eastAsiaTheme="minorHAnsi" w:hAnsiTheme="minorHAnsi" w:cstheme="minorHAnsi"/>
          <w:sz w:val="22"/>
          <w:szCs w:val="22"/>
          <w:lang w:val="en-GB"/>
        </w:rPr>
        <w:t xml:space="preserve"> </w:t>
      </w:r>
    </w:p>
    <w:p w14:paraId="7BF14962" w14:textId="77777777" w:rsidR="00933994" w:rsidRPr="00933994" w:rsidRDefault="00933994" w:rsidP="00933994">
      <w:pPr>
        <w:spacing w:after="0"/>
        <w:rPr>
          <w:rFonts w:asciiTheme="minorHAnsi" w:eastAsiaTheme="minorHAnsi" w:hAnsiTheme="minorHAnsi" w:cstheme="minorHAnsi"/>
          <w:sz w:val="22"/>
          <w:szCs w:val="22"/>
          <w:lang w:val="en-GB"/>
        </w:rPr>
      </w:pPr>
    </w:p>
    <w:p w14:paraId="72991FE6" w14:textId="77777777" w:rsidR="00933994" w:rsidRPr="00915094" w:rsidRDefault="00933994" w:rsidP="00915094">
      <w:pPr>
        <w:pStyle w:val="ListParagraph"/>
        <w:numPr>
          <w:ilvl w:val="0"/>
          <w:numId w:val="22"/>
        </w:numPr>
        <w:spacing w:after="0"/>
        <w:rPr>
          <w:rFonts w:asciiTheme="minorHAnsi" w:eastAsiaTheme="minorHAnsi" w:hAnsiTheme="minorHAnsi" w:cstheme="minorHAnsi"/>
          <w:sz w:val="22"/>
          <w:szCs w:val="22"/>
          <w:lang w:val="en-GB"/>
        </w:rPr>
      </w:pPr>
      <w:r w:rsidRPr="00915094">
        <w:rPr>
          <w:rFonts w:asciiTheme="minorHAnsi" w:eastAsiaTheme="minorHAnsi" w:hAnsiTheme="minorHAnsi" w:cstheme="minorHAnsi"/>
          <w:sz w:val="22"/>
          <w:szCs w:val="22"/>
          <w:lang w:val="en-GB"/>
        </w:rPr>
        <w:t xml:space="preserve">All services delivered to the EEA must take into account the multicultural and multi-lingual nature of the organisation. Staff will hold varying views about the principles of good management and performance, and this must be borne in mind in the conception and delivery of frameworks, assessments, communication tools or any other learning activities. </w:t>
      </w:r>
    </w:p>
    <w:p w14:paraId="7769AFAA" w14:textId="77777777" w:rsidR="00933994" w:rsidRPr="00933994" w:rsidRDefault="00933994" w:rsidP="00933994">
      <w:pPr>
        <w:spacing w:after="0"/>
        <w:rPr>
          <w:rFonts w:asciiTheme="minorHAnsi" w:eastAsiaTheme="minorHAnsi" w:hAnsiTheme="minorHAnsi" w:cstheme="minorHAnsi"/>
          <w:sz w:val="22"/>
          <w:szCs w:val="22"/>
          <w:lang w:val="en-GB"/>
        </w:rPr>
      </w:pPr>
    </w:p>
    <w:p w14:paraId="2C85095D" w14:textId="77777777" w:rsidR="00933994" w:rsidRPr="00915094" w:rsidRDefault="00933994" w:rsidP="00915094">
      <w:pPr>
        <w:pStyle w:val="ListParagraph"/>
        <w:numPr>
          <w:ilvl w:val="0"/>
          <w:numId w:val="22"/>
        </w:numPr>
        <w:spacing w:after="0"/>
        <w:rPr>
          <w:rFonts w:asciiTheme="minorHAnsi" w:eastAsiaTheme="minorHAnsi" w:hAnsiTheme="minorHAnsi" w:cstheme="minorHAnsi"/>
          <w:sz w:val="22"/>
          <w:szCs w:val="22"/>
          <w:lang w:val="en-GB"/>
        </w:rPr>
      </w:pPr>
      <w:r w:rsidRPr="00915094">
        <w:rPr>
          <w:rFonts w:asciiTheme="minorHAnsi" w:eastAsiaTheme="minorHAnsi" w:hAnsiTheme="minorHAnsi" w:cstheme="minorHAnsi"/>
          <w:sz w:val="22"/>
          <w:szCs w:val="22"/>
          <w:lang w:val="en-GB"/>
        </w:rPr>
        <w:t>All communication with the EEA shall be done in English. Trainers, consultants and/or coaches must have a command of the English language near to the level of a native speaker. When providing information about the level of language of individual trainers, consultants and coaches, tenderers must indicate their level of English, in line with the Common European Framework of languages attached as Annex 8 to these tender specifications.</w:t>
      </w:r>
    </w:p>
    <w:p w14:paraId="06C51153" w14:textId="77777777" w:rsidR="00933994" w:rsidRPr="00933994" w:rsidRDefault="00933994" w:rsidP="00933994">
      <w:pPr>
        <w:spacing w:after="0"/>
        <w:rPr>
          <w:rFonts w:asciiTheme="minorHAnsi" w:eastAsiaTheme="minorHAnsi" w:hAnsiTheme="minorHAnsi" w:cstheme="minorHAnsi"/>
          <w:sz w:val="22"/>
          <w:szCs w:val="22"/>
          <w:lang w:val="en-GB"/>
        </w:rPr>
      </w:pPr>
    </w:p>
    <w:p w14:paraId="51365D24" w14:textId="03A89CA1" w:rsidR="00933994" w:rsidRPr="00915094" w:rsidRDefault="00933994" w:rsidP="00915094">
      <w:pPr>
        <w:pStyle w:val="ListParagraph"/>
        <w:numPr>
          <w:ilvl w:val="0"/>
          <w:numId w:val="22"/>
        </w:numPr>
        <w:spacing w:after="0"/>
        <w:rPr>
          <w:rFonts w:asciiTheme="minorHAnsi" w:eastAsiaTheme="minorHAnsi" w:hAnsiTheme="minorHAnsi" w:cstheme="minorHAnsi"/>
          <w:sz w:val="22"/>
          <w:szCs w:val="22"/>
          <w:lang w:val="en-GB"/>
        </w:rPr>
      </w:pPr>
      <w:r w:rsidRPr="00915094">
        <w:rPr>
          <w:rFonts w:asciiTheme="minorHAnsi" w:eastAsiaTheme="minorHAnsi" w:hAnsiTheme="minorHAnsi" w:cstheme="minorHAnsi"/>
          <w:sz w:val="22"/>
          <w:szCs w:val="22"/>
          <w:lang w:val="en-GB"/>
        </w:rPr>
        <w:t xml:space="preserve">Tenderers are required to supply the service directly and take full responsibility for the content and quality of the activity material and the quality standard and availability of </w:t>
      </w:r>
      <w:r w:rsidRPr="00915094">
        <w:rPr>
          <w:rFonts w:asciiTheme="minorHAnsi" w:eastAsiaTheme="minorHAnsi" w:hAnsiTheme="minorHAnsi" w:cstheme="minorHAnsi"/>
          <w:sz w:val="22"/>
          <w:szCs w:val="22"/>
          <w:lang w:val="en-GB"/>
        </w:rPr>
        <w:lastRenderedPageBreak/>
        <w:t>trainers/coaches. Subcontracting of services to other companies is not acceptable without the prior written approval of the EEA (see section 4.3).</w:t>
      </w:r>
    </w:p>
    <w:p w14:paraId="2DA00C90" w14:textId="77777777" w:rsidR="00933994" w:rsidRPr="00933994" w:rsidRDefault="00933994" w:rsidP="00933994">
      <w:pPr>
        <w:spacing w:after="0"/>
        <w:rPr>
          <w:rFonts w:asciiTheme="minorHAnsi" w:eastAsiaTheme="minorHAnsi" w:hAnsiTheme="minorHAnsi" w:cstheme="minorHAnsi"/>
          <w:sz w:val="22"/>
          <w:szCs w:val="22"/>
          <w:lang w:val="en-GB"/>
        </w:rPr>
      </w:pPr>
    </w:p>
    <w:p w14:paraId="02B5E89C" w14:textId="2EF9E6D1" w:rsidR="00CB731B" w:rsidRPr="00CB731B" w:rsidRDefault="00CB731B" w:rsidP="00CB731B">
      <w:pPr>
        <w:rPr>
          <w:rFonts w:asciiTheme="minorHAnsi" w:hAnsiTheme="minorHAnsi" w:cstheme="minorHAnsi"/>
          <w:sz w:val="22"/>
          <w:szCs w:val="22"/>
          <w:lang w:val="en-GB"/>
        </w:rPr>
      </w:pPr>
      <w:r w:rsidRPr="00CB731B">
        <w:rPr>
          <w:rFonts w:asciiTheme="minorHAnsi" w:hAnsiTheme="minorHAnsi" w:cstheme="minorHAnsi"/>
          <w:sz w:val="22"/>
          <w:szCs w:val="22"/>
          <w:lang w:val="en-GB"/>
        </w:rPr>
        <w:t xml:space="preserve">Although </w:t>
      </w:r>
      <w:r w:rsidR="004016CE">
        <w:rPr>
          <w:rFonts w:asciiTheme="minorHAnsi" w:hAnsiTheme="minorHAnsi" w:cstheme="minorHAnsi"/>
          <w:sz w:val="22"/>
          <w:szCs w:val="22"/>
          <w:lang w:val="en-GB"/>
        </w:rPr>
        <w:t xml:space="preserve">the requested services are </w:t>
      </w:r>
      <w:r w:rsidRPr="00CB731B">
        <w:rPr>
          <w:rFonts w:asciiTheme="minorHAnsi" w:hAnsiTheme="minorHAnsi" w:cstheme="minorHAnsi"/>
          <w:sz w:val="22"/>
          <w:szCs w:val="22"/>
          <w:lang w:val="en-GB"/>
        </w:rPr>
        <w:t xml:space="preserve">split in </w:t>
      </w:r>
      <w:r w:rsidR="00933994">
        <w:rPr>
          <w:rFonts w:asciiTheme="minorHAnsi" w:hAnsiTheme="minorHAnsi" w:cstheme="minorHAnsi"/>
          <w:sz w:val="22"/>
          <w:szCs w:val="22"/>
          <w:lang w:val="en-GB"/>
        </w:rPr>
        <w:t xml:space="preserve">three different </w:t>
      </w:r>
      <w:r w:rsidR="004016CE">
        <w:rPr>
          <w:rFonts w:asciiTheme="minorHAnsi" w:hAnsiTheme="minorHAnsi" w:cstheme="minorHAnsi"/>
          <w:sz w:val="22"/>
          <w:szCs w:val="22"/>
          <w:lang w:val="en-GB"/>
        </w:rPr>
        <w:t>categories</w:t>
      </w:r>
      <w:r w:rsidRPr="00CB731B">
        <w:rPr>
          <w:rFonts w:asciiTheme="minorHAnsi" w:hAnsiTheme="minorHAnsi" w:cstheme="minorHAnsi"/>
          <w:sz w:val="22"/>
          <w:szCs w:val="22"/>
          <w:lang w:val="en-GB"/>
        </w:rPr>
        <w:t xml:space="preserve"> – (1) Com</w:t>
      </w:r>
      <w:r w:rsidR="00933994">
        <w:rPr>
          <w:rFonts w:asciiTheme="minorHAnsi" w:hAnsiTheme="minorHAnsi" w:cstheme="minorHAnsi"/>
          <w:sz w:val="22"/>
          <w:szCs w:val="22"/>
          <w:lang w:val="en-GB"/>
        </w:rPr>
        <w:t>petency Framework,</w:t>
      </w:r>
      <w:r w:rsidR="00230E88">
        <w:rPr>
          <w:rFonts w:asciiTheme="minorHAnsi" w:hAnsiTheme="minorHAnsi" w:cstheme="minorHAnsi"/>
          <w:sz w:val="22"/>
          <w:szCs w:val="22"/>
          <w:lang w:val="en-GB"/>
        </w:rPr>
        <w:t xml:space="preserve"> (2) 36</w:t>
      </w:r>
      <w:r w:rsidRPr="00CB731B">
        <w:rPr>
          <w:rFonts w:asciiTheme="minorHAnsi" w:hAnsiTheme="minorHAnsi" w:cstheme="minorHAnsi"/>
          <w:sz w:val="22"/>
          <w:szCs w:val="22"/>
          <w:lang w:val="en-GB"/>
        </w:rPr>
        <w:t xml:space="preserve">0º Assessments </w:t>
      </w:r>
      <w:r w:rsidR="00933994">
        <w:rPr>
          <w:rFonts w:asciiTheme="minorHAnsi" w:hAnsiTheme="minorHAnsi" w:cstheme="minorHAnsi"/>
          <w:sz w:val="22"/>
          <w:szCs w:val="22"/>
          <w:lang w:val="en-GB"/>
        </w:rPr>
        <w:t xml:space="preserve">and (3) other HR related features </w:t>
      </w:r>
      <w:r w:rsidRPr="00CB731B">
        <w:rPr>
          <w:rFonts w:asciiTheme="minorHAnsi" w:hAnsiTheme="minorHAnsi" w:cstheme="minorHAnsi"/>
          <w:sz w:val="22"/>
          <w:szCs w:val="22"/>
          <w:lang w:val="en-GB"/>
        </w:rPr>
        <w:t>–</w:t>
      </w:r>
      <w:r w:rsidR="00933994">
        <w:rPr>
          <w:rFonts w:asciiTheme="minorHAnsi" w:hAnsiTheme="minorHAnsi" w:cstheme="minorHAnsi"/>
          <w:sz w:val="22"/>
          <w:szCs w:val="22"/>
          <w:lang w:val="en-GB"/>
        </w:rPr>
        <w:t xml:space="preserve"> </w:t>
      </w:r>
      <w:r w:rsidRPr="00CB731B">
        <w:rPr>
          <w:rFonts w:asciiTheme="minorHAnsi" w:hAnsiTheme="minorHAnsi" w:cstheme="minorHAnsi"/>
          <w:sz w:val="22"/>
          <w:szCs w:val="22"/>
          <w:lang w:val="en-GB"/>
        </w:rPr>
        <w:t xml:space="preserve">given the nature of the needs </w:t>
      </w:r>
      <w:r w:rsidR="004016CE">
        <w:rPr>
          <w:rFonts w:asciiTheme="minorHAnsi" w:hAnsiTheme="minorHAnsi" w:cstheme="minorHAnsi"/>
          <w:sz w:val="22"/>
          <w:szCs w:val="22"/>
          <w:lang w:val="en-GB"/>
        </w:rPr>
        <w:t>the EEA</w:t>
      </w:r>
      <w:r w:rsidR="004016CE" w:rsidRPr="00CB731B">
        <w:rPr>
          <w:rFonts w:asciiTheme="minorHAnsi" w:hAnsiTheme="minorHAnsi" w:cstheme="minorHAnsi"/>
          <w:sz w:val="22"/>
          <w:szCs w:val="22"/>
          <w:lang w:val="en-GB"/>
        </w:rPr>
        <w:t xml:space="preserve"> </w:t>
      </w:r>
      <w:r w:rsidRPr="00CB731B">
        <w:rPr>
          <w:rFonts w:asciiTheme="minorHAnsi" w:hAnsiTheme="minorHAnsi" w:cstheme="minorHAnsi"/>
          <w:sz w:val="22"/>
          <w:szCs w:val="22"/>
          <w:lang w:val="en-GB"/>
        </w:rPr>
        <w:t>expect</w:t>
      </w:r>
      <w:r w:rsidR="004016CE">
        <w:rPr>
          <w:rFonts w:asciiTheme="minorHAnsi" w:hAnsiTheme="minorHAnsi" w:cstheme="minorHAnsi"/>
          <w:sz w:val="22"/>
          <w:szCs w:val="22"/>
          <w:lang w:val="en-GB"/>
        </w:rPr>
        <w:t>s</w:t>
      </w:r>
      <w:r w:rsidRPr="00CB731B">
        <w:rPr>
          <w:rFonts w:asciiTheme="minorHAnsi" w:hAnsiTheme="minorHAnsi" w:cstheme="minorHAnsi"/>
          <w:sz w:val="22"/>
          <w:szCs w:val="22"/>
          <w:lang w:val="en-GB"/>
        </w:rPr>
        <w:t xml:space="preserve"> </w:t>
      </w:r>
      <w:r w:rsidR="00933994">
        <w:rPr>
          <w:rFonts w:asciiTheme="minorHAnsi" w:hAnsiTheme="minorHAnsi" w:cstheme="minorHAnsi"/>
          <w:sz w:val="22"/>
          <w:szCs w:val="22"/>
          <w:lang w:val="en-GB"/>
        </w:rPr>
        <w:t xml:space="preserve">all </w:t>
      </w:r>
      <w:r w:rsidRPr="00CB731B">
        <w:rPr>
          <w:rFonts w:asciiTheme="minorHAnsi" w:hAnsiTheme="minorHAnsi" w:cstheme="minorHAnsi"/>
          <w:sz w:val="22"/>
          <w:szCs w:val="22"/>
          <w:lang w:val="en-GB"/>
        </w:rPr>
        <w:t xml:space="preserve">services to be </w:t>
      </w:r>
      <w:r w:rsidR="00933994">
        <w:rPr>
          <w:rFonts w:asciiTheme="minorHAnsi" w:hAnsiTheme="minorHAnsi" w:cstheme="minorHAnsi"/>
          <w:sz w:val="22"/>
          <w:szCs w:val="22"/>
          <w:lang w:val="en-GB"/>
        </w:rPr>
        <w:t>proposed in a coherent and integrated manner</w:t>
      </w:r>
      <w:r>
        <w:rPr>
          <w:rFonts w:asciiTheme="minorHAnsi" w:hAnsiTheme="minorHAnsi" w:cstheme="minorHAnsi"/>
          <w:sz w:val="22"/>
          <w:szCs w:val="22"/>
          <w:lang w:val="en-GB"/>
        </w:rPr>
        <w:t>.</w:t>
      </w:r>
      <w:r w:rsidR="004016CE">
        <w:rPr>
          <w:rFonts w:asciiTheme="minorHAnsi" w:hAnsiTheme="minorHAnsi" w:cstheme="minorHAnsi"/>
          <w:sz w:val="22"/>
          <w:szCs w:val="22"/>
          <w:lang w:val="en-GB"/>
        </w:rPr>
        <w:t xml:space="preserve"> Consequently, tenderers are required to place an offer for </w:t>
      </w:r>
      <w:r w:rsidR="004016CE" w:rsidRPr="00915094">
        <w:rPr>
          <w:rFonts w:asciiTheme="minorHAnsi" w:hAnsiTheme="minorHAnsi" w:cstheme="minorHAnsi"/>
          <w:b/>
          <w:sz w:val="22"/>
          <w:szCs w:val="22"/>
          <w:lang w:val="en-GB"/>
        </w:rPr>
        <w:t>all three lots</w:t>
      </w:r>
      <w:r w:rsidR="004016CE">
        <w:rPr>
          <w:rFonts w:asciiTheme="minorHAnsi" w:hAnsiTheme="minorHAnsi" w:cstheme="minorHAnsi"/>
          <w:sz w:val="22"/>
          <w:szCs w:val="22"/>
          <w:lang w:val="en-GB"/>
        </w:rPr>
        <w:t>.</w:t>
      </w:r>
    </w:p>
    <w:p w14:paraId="17A967D7" w14:textId="77777777" w:rsidR="00CB731B" w:rsidRPr="00CB731B" w:rsidRDefault="00CB731B" w:rsidP="00CB731B">
      <w:pPr>
        <w:pStyle w:val="Default"/>
        <w:rPr>
          <w:rFonts w:asciiTheme="minorHAnsi" w:hAnsiTheme="minorHAnsi" w:cstheme="minorHAnsi"/>
          <w:sz w:val="22"/>
          <w:szCs w:val="22"/>
        </w:rPr>
      </w:pPr>
    </w:p>
    <w:p w14:paraId="59015B4E" w14:textId="77777777" w:rsidR="00CB731B" w:rsidRPr="00CB731B" w:rsidRDefault="00CA4F0F" w:rsidP="00CA4F0F">
      <w:pPr>
        <w:pStyle w:val="Default"/>
        <w:rPr>
          <w:rFonts w:asciiTheme="minorHAnsi" w:hAnsiTheme="minorHAnsi" w:cstheme="minorHAnsi"/>
          <w:b/>
          <w:bCs/>
          <w:sz w:val="22"/>
          <w:szCs w:val="22"/>
        </w:rPr>
      </w:pPr>
      <w:r>
        <w:rPr>
          <w:rFonts w:asciiTheme="minorHAnsi" w:hAnsiTheme="minorHAnsi" w:cstheme="minorHAnsi"/>
          <w:b/>
          <w:bCs/>
          <w:sz w:val="22"/>
          <w:szCs w:val="22"/>
        </w:rPr>
        <w:t xml:space="preserve">Lot 1 – </w:t>
      </w:r>
      <w:r w:rsidR="00CB731B" w:rsidRPr="00CB731B">
        <w:rPr>
          <w:rFonts w:asciiTheme="minorHAnsi" w:hAnsiTheme="minorHAnsi" w:cstheme="minorHAnsi"/>
          <w:b/>
          <w:bCs/>
          <w:sz w:val="22"/>
          <w:szCs w:val="22"/>
        </w:rPr>
        <w:t>EEA Competency Framework</w:t>
      </w:r>
    </w:p>
    <w:p w14:paraId="147283AE" w14:textId="77777777" w:rsidR="00915094" w:rsidRDefault="00915094" w:rsidP="00CB731B">
      <w:pPr>
        <w:pStyle w:val="Default"/>
        <w:ind w:left="720"/>
        <w:rPr>
          <w:rFonts w:asciiTheme="minorHAnsi" w:hAnsiTheme="minorHAnsi" w:cstheme="minorHAnsi"/>
          <w:sz w:val="22"/>
          <w:szCs w:val="22"/>
        </w:rPr>
      </w:pPr>
    </w:p>
    <w:p w14:paraId="7F7B1FD6" w14:textId="77777777" w:rsidR="00CB731B" w:rsidRPr="00CB731B" w:rsidRDefault="00CB731B" w:rsidP="00CB731B">
      <w:pPr>
        <w:pStyle w:val="Default"/>
        <w:ind w:left="720"/>
        <w:rPr>
          <w:rFonts w:asciiTheme="minorHAnsi" w:hAnsiTheme="minorHAnsi" w:cstheme="minorHAnsi"/>
          <w:sz w:val="22"/>
          <w:szCs w:val="22"/>
          <w:u w:val="single"/>
        </w:rPr>
      </w:pPr>
      <w:r w:rsidRPr="00CB731B">
        <w:rPr>
          <w:rFonts w:asciiTheme="minorHAnsi" w:hAnsiTheme="minorHAnsi" w:cstheme="minorHAnsi"/>
          <w:sz w:val="22"/>
          <w:szCs w:val="22"/>
          <w:u w:val="single"/>
        </w:rPr>
        <w:t>Scope:</w:t>
      </w:r>
    </w:p>
    <w:p w14:paraId="31814656" w14:textId="77777777" w:rsidR="00CB731B" w:rsidRPr="00CB731B" w:rsidRDefault="00230E88" w:rsidP="00CB731B">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The target group is of a</w:t>
      </w:r>
      <w:r w:rsidR="00CB731B" w:rsidRPr="00CB731B">
        <w:rPr>
          <w:rFonts w:asciiTheme="minorHAnsi" w:hAnsiTheme="minorHAnsi" w:cstheme="minorHAnsi"/>
          <w:sz w:val="22"/>
          <w:szCs w:val="22"/>
        </w:rPr>
        <w:t>pprox. 230 staff members (the entire EEA staff)</w:t>
      </w:r>
    </w:p>
    <w:p w14:paraId="477412CE" w14:textId="77777777" w:rsidR="00CB731B" w:rsidRPr="00CB731B" w:rsidRDefault="00230E88" w:rsidP="00CB731B">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A f</w:t>
      </w:r>
      <w:r w:rsidR="00CB731B" w:rsidRPr="00CB731B">
        <w:rPr>
          <w:rFonts w:asciiTheme="minorHAnsi" w:hAnsiTheme="minorHAnsi" w:cstheme="minorHAnsi"/>
          <w:sz w:val="22"/>
          <w:szCs w:val="22"/>
        </w:rPr>
        <w:t xml:space="preserve">ew job families </w:t>
      </w:r>
      <w:r>
        <w:rPr>
          <w:rFonts w:asciiTheme="minorHAnsi" w:hAnsiTheme="minorHAnsi" w:cstheme="minorHAnsi"/>
          <w:sz w:val="22"/>
          <w:szCs w:val="22"/>
        </w:rPr>
        <w:t xml:space="preserve">are </w:t>
      </w:r>
      <w:r w:rsidR="00CB731B" w:rsidRPr="00CB731B">
        <w:rPr>
          <w:rFonts w:asciiTheme="minorHAnsi" w:hAnsiTheme="minorHAnsi" w:cstheme="minorHAnsi"/>
          <w:sz w:val="22"/>
          <w:szCs w:val="22"/>
        </w:rPr>
        <w:t>already defined</w:t>
      </w:r>
      <w:r>
        <w:rPr>
          <w:rFonts w:asciiTheme="minorHAnsi" w:hAnsiTheme="minorHAnsi" w:cstheme="minorHAnsi"/>
          <w:sz w:val="22"/>
          <w:szCs w:val="22"/>
        </w:rPr>
        <w:t>. A l</w:t>
      </w:r>
      <w:r w:rsidR="00CB731B" w:rsidRPr="00CB731B">
        <w:rPr>
          <w:rFonts w:asciiTheme="minorHAnsi" w:hAnsiTheme="minorHAnsi" w:cstheme="minorHAnsi"/>
          <w:sz w:val="22"/>
          <w:szCs w:val="22"/>
        </w:rPr>
        <w:t xml:space="preserve">eadership competency framework </w:t>
      </w:r>
      <w:r>
        <w:rPr>
          <w:rFonts w:asciiTheme="minorHAnsi" w:hAnsiTheme="minorHAnsi" w:cstheme="minorHAnsi"/>
          <w:sz w:val="22"/>
          <w:szCs w:val="22"/>
        </w:rPr>
        <w:t xml:space="preserve">has been recently developed and is now </w:t>
      </w:r>
      <w:r w:rsidR="00CB731B" w:rsidRPr="00CB731B">
        <w:rPr>
          <w:rFonts w:asciiTheme="minorHAnsi" w:hAnsiTheme="minorHAnsi" w:cstheme="minorHAnsi"/>
          <w:sz w:val="22"/>
          <w:szCs w:val="22"/>
        </w:rPr>
        <w:t>in place;</w:t>
      </w:r>
    </w:p>
    <w:p w14:paraId="4B024034" w14:textId="77777777" w:rsidR="00CB731B" w:rsidRPr="00CB731B" w:rsidRDefault="00230E88" w:rsidP="00CB731B">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There is a n</w:t>
      </w:r>
      <w:r w:rsidR="00CB731B" w:rsidRPr="00CB731B">
        <w:rPr>
          <w:rFonts w:asciiTheme="minorHAnsi" w:hAnsiTheme="minorHAnsi" w:cstheme="minorHAnsi"/>
          <w:sz w:val="22"/>
          <w:szCs w:val="22"/>
        </w:rPr>
        <w:t>eed to (re)define job families, job descriptions (functions/tasks and responsibilities) and competencies (knowledge, skills and abilities) for all posts.</w:t>
      </w:r>
    </w:p>
    <w:p w14:paraId="3065DCCA" w14:textId="77777777" w:rsidR="00CB731B" w:rsidRPr="00CB731B" w:rsidRDefault="00CB731B" w:rsidP="00CB731B">
      <w:pPr>
        <w:pStyle w:val="Default"/>
        <w:rPr>
          <w:rFonts w:asciiTheme="minorHAnsi" w:hAnsiTheme="minorHAnsi" w:cstheme="minorHAnsi"/>
          <w:sz w:val="22"/>
          <w:szCs w:val="22"/>
        </w:rPr>
      </w:pPr>
    </w:p>
    <w:p w14:paraId="4ED3F950" w14:textId="77777777" w:rsidR="00CB731B" w:rsidRPr="00CB731B" w:rsidRDefault="00CB731B" w:rsidP="00CB731B">
      <w:pPr>
        <w:pStyle w:val="Default"/>
        <w:ind w:left="720"/>
        <w:rPr>
          <w:rFonts w:asciiTheme="minorHAnsi" w:hAnsiTheme="minorHAnsi" w:cstheme="minorHAnsi"/>
          <w:sz w:val="22"/>
          <w:szCs w:val="22"/>
          <w:u w:val="single"/>
        </w:rPr>
      </w:pPr>
      <w:r w:rsidRPr="00CB731B">
        <w:rPr>
          <w:rFonts w:asciiTheme="minorHAnsi" w:hAnsiTheme="minorHAnsi" w:cstheme="minorHAnsi"/>
          <w:sz w:val="22"/>
          <w:szCs w:val="22"/>
          <w:u w:val="single"/>
        </w:rPr>
        <w:t>Key features:</w:t>
      </w:r>
    </w:p>
    <w:p w14:paraId="35105A4A" w14:textId="77777777"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 xml:space="preserve">Primarily linked to learning and career development; gradually </w:t>
      </w:r>
      <w:r w:rsidR="00230E88">
        <w:rPr>
          <w:rFonts w:asciiTheme="minorHAnsi" w:hAnsiTheme="minorHAnsi" w:cstheme="minorHAnsi"/>
          <w:sz w:val="22"/>
          <w:szCs w:val="22"/>
        </w:rPr>
        <w:t xml:space="preserve">subject to </w:t>
      </w:r>
      <w:r w:rsidRPr="00CB731B">
        <w:rPr>
          <w:rFonts w:asciiTheme="minorHAnsi" w:hAnsiTheme="minorHAnsi" w:cstheme="minorHAnsi"/>
          <w:sz w:val="22"/>
          <w:szCs w:val="22"/>
        </w:rPr>
        <w:t>articulat</w:t>
      </w:r>
      <w:r w:rsidR="00230E88">
        <w:rPr>
          <w:rFonts w:asciiTheme="minorHAnsi" w:hAnsiTheme="minorHAnsi" w:cstheme="minorHAnsi"/>
          <w:sz w:val="22"/>
          <w:szCs w:val="22"/>
        </w:rPr>
        <w:t>ion</w:t>
      </w:r>
      <w:r w:rsidRPr="00CB731B">
        <w:rPr>
          <w:rFonts w:asciiTheme="minorHAnsi" w:hAnsiTheme="minorHAnsi" w:cstheme="minorHAnsi"/>
          <w:sz w:val="22"/>
          <w:szCs w:val="22"/>
        </w:rPr>
        <w:t xml:space="preserve"> with recruitment and selection, appraisal and performance management, risk analysis and resource planning;</w:t>
      </w:r>
    </w:p>
    <w:p w14:paraId="4F6495C2" w14:textId="77777777" w:rsidR="00CB731B" w:rsidRPr="00CB731B" w:rsidRDefault="00230E88" w:rsidP="00CB731B">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 xml:space="preserve">Competency framework as such, enhanced through the respective </w:t>
      </w:r>
      <w:r w:rsidR="00CB731B" w:rsidRPr="00CB731B">
        <w:rPr>
          <w:rFonts w:asciiTheme="minorHAnsi" w:hAnsiTheme="minorHAnsi" w:cstheme="minorHAnsi"/>
          <w:sz w:val="22"/>
          <w:szCs w:val="22"/>
        </w:rPr>
        <w:t>online software</w:t>
      </w:r>
      <w:r>
        <w:rPr>
          <w:rFonts w:asciiTheme="minorHAnsi" w:hAnsiTheme="minorHAnsi" w:cstheme="minorHAnsi"/>
          <w:sz w:val="22"/>
          <w:szCs w:val="22"/>
        </w:rPr>
        <w:t xml:space="preserve"> and </w:t>
      </w:r>
      <w:r w:rsidR="00CB731B" w:rsidRPr="00CB731B">
        <w:rPr>
          <w:rFonts w:asciiTheme="minorHAnsi" w:hAnsiTheme="minorHAnsi" w:cstheme="minorHAnsi"/>
          <w:sz w:val="22"/>
          <w:szCs w:val="22"/>
        </w:rPr>
        <w:t>tools;</w:t>
      </w:r>
    </w:p>
    <w:p w14:paraId="60D21B40" w14:textId="77777777"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Self-maintain</w:t>
      </w:r>
      <w:r w:rsidR="001F5E7A">
        <w:rPr>
          <w:rFonts w:asciiTheme="minorHAnsi" w:hAnsiTheme="minorHAnsi" w:cstheme="minorHAnsi"/>
          <w:sz w:val="22"/>
          <w:szCs w:val="22"/>
        </w:rPr>
        <w:t xml:space="preserve">able </w:t>
      </w:r>
      <w:r w:rsidRPr="00CB731B">
        <w:rPr>
          <w:rFonts w:asciiTheme="minorHAnsi" w:hAnsiTheme="minorHAnsi" w:cstheme="minorHAnsi"/>
          <w:sz w:val="22"/>
          <w:szCs w:val="22"/>
        </w:rPr>
        <w:t xml:space="preserve">(editable) system </w:t>
      </w:r>
      <w:r w:rsidR="001F5E7A">
        <w:rPr>
          <w:rFonts w:asciiTheme="minorHAnsi" w:hAnsiTheme="minorHAnsi" w:cstheme="minorHAnsi"/>
          <w:sz w:val="22"/>
          <w:szCs w:val="22"/>
        </w:rPr>
        <w:t xml:space="preserve">with high </w:t>
      </w:r>
      <w:r w:rsidRPr="00CB731B">
        <w:rPr>
          <w:rFonts w:asciiTheme="minorHAnsi" w:hAnsiTheme="minorHAnsi" w:cstheme="minorHAnsi"/>
          <w:sz w:val="22"/>
          <w:szCs w:val="22"/>
        </w:rPr>
        <w:t>focus on usability features and support tools;</w:t>
      </w:r>
    </w:p>
    <w:p w14:paraId="776C560A" w14:textId="77777777"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Access to pre-defined library of jobs and competencies</w:t>
      </w:r>
      <w:r w:rsidR="001F5E7A">
        <w:rPr>
          <w:rFonts w:asciiTheme="minorHAnsi" w:hAnsiTheme="minorHAnsi" w:cstheme="minorHAnsi"/>
          <w:sz w:val="22"/>
          <w:szCs w:val="22"/>
        </w:rPr>
        <w:t xml:space="preserve"> combined with flexible customisation</w:t>
      </w:r>
      <w:r w:rsidRPr="00CB731B">
        <w:rPr>
          <w:rFonts w:asciiTheme="minorHAnsi" w:hAnsiTheme="minorHAnsi" w:cstheme="minorHAnsi"/>
          <w:sz w:val="22"/>
          <w:szCs w:val="22"/>
        </w:rPr>
        <w:t>;</w:t>
      </w:r>
    </w:p>
    <w:p w14:paraId="122DBE23" w14:textId="77777777"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Easy integration with SharePoint.</w:t>
      </w:r>
    </w:p>
    <w:p w14:paraId="7FE40BF8" w14:textId="77777777" w:rsidR="00CB731B" w:rsidRPr="00CB731B" w:rsidRDefault="00CB731B" w:rsidP="00CB731B">
      <w:pPr>
        <w:pStyle w:val="Default"/>
        <w:rPr>
          <w:rFonts w:asciiTheme="minorHAnsi" w:hAnsiTheme="minorHAnsi" w:cstheme="minorHAnsi"/>
          <w:sz w:val="22"/>
          <w:szCs w:val="22"/>
        </w:rPr>
      </w:pPr>
    </w:p>
    <w:p w14:paraId="6AAC1F54" w14:textId="77777777" w:rsidR="00CB731B" w:rsidRPr="00CB731B" w:rsidRDefault="00CA4F0F" w:rsidP="00CB731B">
      <w:pPr>
        <w:pStyle w:val="Default"/>
        <w:ind w:left="720"/>
        <w:rPr>
          <w:rFonts w:asciiTheme="minorHAnsi" w:hAnsiTheme="minorHAnsi" w:cstheme="minorHAnsi"/>
          <w:sz w:val="22"/>
          <w:szCs w:val="22"/>
          <w:u w:val="single"/>
        </w:rPr>
      </w:pPr>
      <w:r>
        <w:rPr>
          <w:rFonts w:asciiTheme="minorHAnsi" w:hAnsiTheme="minorHAnsi" w:cstheme="minorHAnsi"/>
          <w:sz w:val="22"/>
          <w:szCs w:val="22"/>
          <w:u w:val="single"/>
        </w:rPr>
        <w:t>Required s</w:t>
      </w:r>
      <w:r w:rsidR="00CB731B" w:rsidRPr="00CB731B">
        <w:rPr>
          <w:rFonts w:asciiTheme="minorHAnsi" w:hAnsiTheme="minorHAnsi" w:cstheme="minorHAnsi"/>
          <w:sz w:val="22"/>
          <w:szCs w:val="22"/>
          <w:u w:val="single"/>
        </w:rPr>
        <w:t>ervices</w:t>
      </w:r>
    </w:p>
    <w:p w14:paraId="683ACBA1" w14:textId="2BD4BC95"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Full support with setting</w:t>
      </w:r>
      <w:r w:rsidR="00405138">
        <w:rPr>
          <w:rFonts w:asciiTheme="minorHAnsi" w:hAnsiTheme="minorHAnsi" w:cstheme="minorHAnsi"/>
          <w:sz w:val="22"/>
          <w:szCs w:val="22"/>
        </w:rPr>
        <w:t>-</w:t>
      </w:r>
      <w:r w:rsidRPr="00CB731B">
        <w:rPr>
          <w:rFonts w:asciiTheme="minorHAnsi" w:hAnsiTheme="minorHAnsi" w:cstheme="minorHAnsi"/>
          <w:sz w:val="22"/>
          <w:szCs w:val="22"/>
        </w:rPr>
        <w:t>up (defining the process and key features, conducting interviews and related analysis, workflow, etc.)</w:t>
      </w:r>
    </w:p>
    <w:p w14:paraId="32A2D1D4" w14:textId="77777777"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Complete draft and delivery of the competency framework as such and related software solutions;</w:t>
      </w:r>
    </w:p>
    <w:p w14:paraId="2B5892E6" w14:textId="77777777"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Implementing training and follow-up consultancy services.</w:t>
      </w:r>
    </w:p>
    <w:p w14:paraId="00085614" w14:textId="77777777" w:rsidR="00CB731B" w:rsidRPr="00CB731B" w:rsidRDefault="00CB731B" w:rsidP="00CB731B">
      <w:pPr>
        <w:pStyle w:val="Default"/>
        <w:rPr>
          <w:rFonts w:asciiTheme="minorHAnsi" w:hAnsiTheme="minorHAnsi" w:cstheme="minorHAnsi"/>
          <w:sz w:val="22"/>
          <w:szCs w:val="22"/>
        </w:rPr>
      </w:pPr>
    </w:p>
    <w:p w14:paraId="5ADAEC8B" w14:textId="77777777" w:rsidR="00CB731B" w:rsidRPr="00915094" w:rsidRDefault="00CB731B" w:rsidP="00CB731B">
      <w:pPr>
        <w:pStyle w:val="Default"/>
        <w:ind w:left="720"/>
        <w:rPr>
          <w:rFonts w:asciiTheme="minorHAnsi" w:hAnsiTheme="minorHAnsi" w:cstheme="minorHAnsi"/>
          <w:color w:val="auto"/>
          <w:sz w:val="22"/>
          <w:szCs w:val="22"/>
          <w:u w:val="single"/>
        </w:rPr>
      </w:pPr>
      <w:r w:rsidRPr="00915094">
        <w:rPr>
          <w:rFonts w:asciiTheme="minorHAnsi" w:hAnsiTheme="minorHAnsi" w:cstheme="minorHAnsi"/>
          <w:color w:val="auto"/>
          <w:sz w:val="22"/>
          <w:szCs w:val="22"/>
          <w:u w:val="single"/>
        </w:rPr>
        <w:t>Time Frame:</w:t>
      </w:r>
    </w:p>
    <w:p w14:paraId="1BB181F1" w14:textId="77777777" w:rsidR="00CB731B" w:rsidRPr="00915094" w:rsidRDefault="00CB731B" w:rsidP="00CB731B">
      <w:pPr>
        <w:pStyle w:val="Default"/>
        <w:numPr>
          <w:ilvl w:val="0"/>
          <w:numId w:val="21"/>
        </w:numPr>
        <w:rPr>
          <w:rFonts w:asciiTheme="minorHAnsi" w:hAnsiTheme="minorHAnsi" w:cstheme="minorHAnsi"/>
          <w:color w:val="auto"/>
          <w:sz w:val="22"/>
          <w:szCs w:val="22"/>
        </w:rPr>
      </w:pPr>
      <w:r w:rsidRPr="00915094">
        <w:rPr>
          <w:rFonts w:asciiTheme="minorHAnsi" w:hAnsiTheme="minorHAnsi" w:cstheme="minorHAnsi"/>
          <w:color w:val="auto"/>
          <w:sz w:val="22"/>
          <w:szCs w:val="22"/>
        </w:rPr>
        <w:t>The competency framework and related software solutions should be up and running in Q4 2015.</w:t>
      </w:r>
    </w:p>
    <w:p w14:paraId="03D2BBD1" w14:textId="77777777" w:rsidR="00CB731B" w:rsidRPr="00CB731B" w:rsidRDefault="00CB731B" w:rsidP="00CB731B">
      <w:pPr>
        <w:pStyle w:val="Default"/>
        <w:ind w:left="360"/>
        <w:rPr>
          <w:rFonts w:asciiTheme="minorHAnsi" w:hAnsiTheme="minorHAnsi" w:cstheme="minorHAnsi"/>
          <w:color w:val="1F497D"/>
          <w:sz w:val="22"/>
          <w:szCs w:val="22"/>
        </w:rPr>
      </w:pPr>
    </w:p>
    <w:p w14:paraId="1D8F7741" w14:textId="1F28886E" w:rsidR="00CB731B" w:rsidRPr="00CB731B" w:rsidRDefault="00CA4F0F" w:rsidP="00CA4F0F">
      <w:pPr>
        <w:pStyle w:val="Default"/>
        <w:rPr>
          <w:rFonts w:asciiTheme="minorHAnsi" w:hAnsiTheme="minorHAnsi" w:cstheme="minorHAnsi"/>
          <w:b/>
          <w:bCs/>
          <w:sz w:val="22"/>
          <w:szCs w:val="22"/>
        </w:rPr>
      </w:pPr>
      <w:r>
        <w:rPr>
          <w:rFonts w:asciiTheme="minorHAnsi" w:hAnsiTheme="minorHAnsi" w:cstheme="minorHAnsi"/>
          <w:b/>
          <w:bCs/>
          <w:sz w:val="22"/>
          <w:szCs w:val="22"/>
        </w:rPr>
        <w:t xml:space="preserve">Lot 2 – </w:t>
      </w:r>
      <w:r w:rsidR="00405138" w:rsidRPr="00CB731B">
        <w:rPr>
          <w:rFonts w:asciiTheme="minorHAnsi" w:hAnsiTheme="minorHAnsi" w:cstheme="minorHAnsi"/>
          <w:b/>
          <w:bCs/>
          <w:sz w:val="22"/>
          <w:szCs w:val="22"/>
        </w:rPr>
        <w:t>360</w:t>
      </w:r>
      <w:r w:rsidR="00405138">
        <w:rPr>
          <w:rFonts w:asciiTheme="minorHAnsi" w:hAnsiTheme="minorHAnsi" w:cstheme="minorHAnsi"/>
          <w:b/>
          <w:bCs/>
          <w:sz w:val="22"/>
          <w:szCs w:val="22"/>
        </w:rPr>
        <w:t>°</w:t>
      </w:r>
      <w:r w:rsidR="00405138" w:rsidRPr="00CB731B">
        <w:rPr>
          <w:rFonts w:asciiTheme="minorHAnsi" w:hAnsiTheme="minorHAnsi" w:cstheme="minorHAnsi"/>
          <w:b/>
          <w:bCs/>
          <w:sz w:val="22"/>
          <w:szCs w:val="22"/>
        </w:rPr>
        <w:t xml:space="preserve"> </w:t>
      </w:r>
      <w:r>
        <w:rPr>
          <w:rFonts w:asciiTheme="minorHAnsi" w:hAnsiTheme="minorHAnsi" w:cstheme="minorHAnsi"/>
          <w:b/>
          <w:bCs/>
          <w:sz w:val="22"/>
          <w:szCs w:val="22"/>
        </w:rPr>
        <w:t>A</w:t>
      </w:r>
      <w:r w:rsidR="00230E88">
        <w:rPr>
          <w:rFonts w:asciiTheme="minorHAnsi" w:hAnsiTheme="minorHAnsi" w:cstheme="minorHAnsi"/>
          <w:b/>
          <w:bCs/>
          <w:sz w:val="22"/>
          <w:szCs w:val="22"/>
        </w:rPr>
        <w:t>ssessment</w:t>
      </w:r>
      <w:r>
        <w:rPr>
          <w:rFonts w:asciiTheme="minorHAnsi" w:hAnsiTheme="minorHAnsi" w:cstheme="minorHAnsi"/>
          <w:b/>
          <w:bCs/>
          <w:sz w:val="22"/>
          <w:szCs w:val="22"/>
        </w:rPr>
        <w:t>s</w:t>
      </w:r>
    </w:p>
    <w:p w14:paraId="23DEBF0C" w14:textId="77777777" w:rsidR="00CB731B" w:rsidRDefault="00CB731B" w:rsidP="00CB731B">
      <w:pPr>
        <w:pStyle w:val="Default"/>
        <w:rPr>
          <w:rFonts w:asciiTheme="minorHAnsi" w:hAnsiTheme="minorHAnsi" w:cstheme="minorHAnsi"/>
          <w:sz w:val="22"/>
          <w:szCs w:val="22"/>
        </w:rPr>
      </w:pPr>
    </w:p>
    <w:p w14:paraId="2D58D35A" w14:textId="77777777" w:rsidR="00CB731B" w:rsidRPr="00CB731B" w:rsidRDefault="00CB731B" w:rsidP="00CB731B">
      <w:pPr>
        <w:pStyle w:val="Default"/>
        <w:ind w:left="720"/>
        <w:rPr>
          <w:rFonts w:asciiTheme="minorHAnsi" w:hAnsiTheme="minorHAnsi" w:cstheme="minorHAnsi"/>
          <w:sz w:val="22"/>
          <w:szCs w:val="22"/>
          <w:u w:val="single"/>
        </w:rPr>
      </w:pPr>
      <w:r w:rsidRPr="00CB731B">
        <w:rPr>
          <w:rFonts w:asciiTheme="minorHAnsi" w:hAnsiTheme="minorHAnsi" w:cstheme="minorHAnsi"/>
          <w:sz w:val="22"/>
          <w:szCs w:val="22"/>
          <w:u w:val="single"/>
        </w:rPr>
        <w:t>Scope:</w:t>
      </w:r>
    </w:p>
    <w:p w14:paraId="43B0E6D5" w14:textId="77777777"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Initial pilot experience within ADS, involving 4 managers in total (line-managers and the respective senior manager)</w:t>
      </w:r>
    </w:p>
    <w:p w14:paraId="749449A0" w14:textId="77777777"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Standard process run for the whole population of 34 managers (9 senior managers and 25 line-managers)</w:t>
      </w:r>
    </w:p>
    <w:p w14:paraId="77D96D91" w14:textId="77777777"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lastRenderedPageBreak/>
        <w:t>Possibility of expansion to a wider range of project managers</w:t>
      </w:r>
    </w:p>
    <w:p w14:paraId="6B4D49FC" w14:textId="77777777" w:rsidR="00CB731B" w:rsidRPr="00CB731B" w:rsidRDefault="00CB731B" w:rsidP="00CB731B">
      <w:pPr>
        <w:pStyle w:val="Default"/>
        <w:rPr>
          <w:rFonts w:asciiTheme="minorHAnsi" w:hAnsiTheme="minorHAnsi" w:cstheme="minorHAnsi"/>
          <w:sz w:val="22"/>
          <w:szCs w:val="22"/>
        </w:rPr>
      </w:pPr>
    </w:p>
    <w:p w14:paraId="0F1C418F" w14:textId="77777777" w:rsidR="00CB731B" w:rsidRPr="00CB731B" w:rsidRDefault="00CB731B" w:rsidP="00CB731B">
      <w:pPr>
        <w:pStyle w:val="Default"/>
        <w:ind w:left="720"/>
        <w:rPr>
          <w:rFonts w:asciiTheme="minorHAnsi" w:hAnsiTheme="minorHAnsi" w:cstheme="minorHAnsi"/>
          <w:sz w:val="22"/>
          <w:szCs w:val="22"/>
          <w:u w:val="single"/>
        </w:rPr>
      </w:pPr>
      <w:r w:rsidRPr="00CB731B">
        <w:rPr>
          <w:rFonts w:asciiTheme="minorHAnsi" w:hAnsiTheme="minorHAnsi" w:cstheme="minorHAnsi"/>
          <w:sz w:val="22"/>
          <w:szCs w:val="22"/>
          <w:u w:val="single"/>
        </w:rPr>
        <w:t>Key features:</w:t>
      </w:r>
    </w:p>
    <w:p w14:paraId="4A0BCBE9" w14:textId="77777777"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 xml:space="preserve">Direct link to the EEA competency framework, in particular to the </w:t>
      </w:r>
      <w:r w:rsidRPr="00CB731B">
        <w:rPr>
          <w:rFonts w:asciiTheme="minorHAnsi" w:hAnsiTheme="minorHAnsi" w:cstheme="minorHAnsi"/>
          <w:i/>
          <w:iCs/>
          <w:sz w:val="22"/>
          <w:szCs w:val="22"/>
        </w:rPr>
        <w:t>leadership competency framework</w:t>
      </w:r>
    </w:p>
    <w:p w14:paraId="419A95FE" w14:textId="573A9129" w:rsidR="00CB731B" w:rsidRPr="00CB731B" w:rsidRDefault="00405138"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360</w:t>
      </w:r>
      <w:r>
        <w:rPr>
          <w:rFonts w:asciiTheme="minorHAnsi" w:hAnsiTheme="minorHAnsi" w:cstheme="minorHAnsi"/>
          <w:sz w:val="22"/>
          <w:szCs w:val="22"/>
        </w:rPr>
        <w:t>°</w:t>
      </w:r>
      <w:r w:rsidRPr="00CB731B">
        <w:rPr>
          <w:rFonts w:asciiTheme="minorHAnsi" w:hAnsiTheme="minorHAnsi" w:cstheme="minorHAnsi"/>
          <w:sz w:val="22"/>
          <w:szCs w:val="22"/>
        </w:rPr>
        <w:t xml:space="preserve"> </w:t>
      </w:r>
      <w:r w:rsidR="00CB731B" w:rsidRPr="00CB731B">
        <w:rPr>
          <w:rFonts w:asciiTheme="minorHAnsi" w:hAnsiTheme="minorHAnsi" w:cstheme="minorHAnsi"/>
          <w:sz w:val="22"/>
          <w:szCs w:val="22"/>
        </w:rPr>
        <w:t xml:space="preserve">evaluation to be primarily used for learning &amp; development purposes </w:t>
      </w:r>
      <w:r w:rsidR="00CB731B" w:rsidRPr="00CB731B">
        <w:rPr>
          <w:rFonts w:asciiTheme="minorHAnsi" w:hAnsiTheme="minorHAnsi" w:cstheme="minorHAnsi"/>
          <w:color w:val="1F497D"/>
          <w:sz w:val="22"/>
          <w:szCs w:val="22"/>
        </w:rPr>
        <w:t>(</w:t>
      </w:r>
      <w:r w:rsidR="00CB731B" w:rsidRPr="00CB731B">
        <w:rPr>
          <w:rFonts w:asciiTheme="minorHAnsi" w:hAnsiTheme="minorHAnsi" w:cstheme="minorHAnsi"/>
          <w:sz w:val="22"/>
          <w:szCs w:val="22"/>
        </w:rPr>
        <w:t xml:space="preserve">possibility to be used in </w:t>
      </w:r>
      <w:r w:rsidR="00230E88">
        <w:rPr>
          <w:rFonts w:asciiTheme="minorHAnsi" w:hAnsiTheme="minorHAnsi" w:cstheme="minorHAnsi"/>
          <w:sz w:val="22"/>
          <w:szCs w:val="22"/>
        </w:rPr>
        <w:t>appraisals</w:t>
      </w:r>
      <w:r w:rsidR="00CB731B" w:rsidRPr="00CB731B">
        <w:rPr>
          <w:rFonts w:asciiTheme="minorHAnsi" w:hAnsiTheme="minorHAnsi" w:cstheme="minorHAnsi"/>
          <w:sz w:val="22"/>
          <w:szCs w:val="22"/>
        </w:rPr>
        <w:t xml:space="preserve"> later on, if well embedded in the culture</w:t>
      </w:r>
      <w:r w:rsidR="00CB731B" w:rsidRPr="00CB731B">
        <w:rPr>
          <w:rFonts w:asciiTheme="minorHAnsi" w:hAnsiTheme="minorHAnsi" w:cstheme="minorHAnsi"/>
          <w:color w:val="1F497D"/>
          <w:sz w:val="22"/>
          <w:szCs w:val="22"/>
        </w:rPr>
        <w:t>)</w:t>
      </w:r>
    </w:p>
    <w:p w14:paraId="6278FDC6" w14:textId="77777777"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Articulation with the leadership development programme (for learning purposes)</w:t>
      </w:r>
    </w:p>
    <w:p w14:paraId="56AC803A" w14:textId="77777777" w:rsidR="00CB731B" w:rsidRPr="00CB731B" w:rsidRDefault="00CB731B" w:rsidP="00CB731B">
      <w:pPr>
        <w:pStyle w:val="Default"/>
        <w:rPr>
          <w:rFonts w:asciiTheme="minorHAnsi" w:hAnsiTheme="minorHAnsi" w:cstheme="minorHAnsi"/>
          <w:sz w:val="22"/>
          <w:szCs w:val="22"/>
        </w:rPr>
      </w:pPr>
    </w:p>
    <w:p w14:paraId="32C00F1B" w14:textId="77777777" w:rsidR="00CB731B" w:rsidRPr="00CB731B" w:rsidRDefault="00CA4F0F" w:rsidP="00CB731B">
      <w:pPr>
        <w:pStyle w:val="Default"/>
        <w:ind w:left="720"/>
        <w:rPr>
          <w:rFonts w:asciiTheme="minorHAnsi" w:hAnsiTheme="minorHAnsi" w:cstheme="minorHAnsi"/>
          <w:sz w:val="22"/>
          <w:szCs w:val="22"/>
          <w:u w:val="single"/>
        </w:rPr>
      </w:pPr>
      <w:r>
        <w:rPr>
          <w:rFonts w:asciiTheme="minorHAnsi" w:hAnsiTheme="minorHAnsi" w:cstheme="minorHAnsi"/>
          <w:sz w:val="22"/>
          <w:szCs w:val="22"/>
          <w:u w:val="single"/>
        </w:rPr>
        <w:t>Required services</w:t>
      </w:r>
      <w:r w:rsidR="00CB731B" w:rsidRPr="00CB731B">
        <w:rPr>
          <w:rFonts w:asciiTheme="minorHAnsi" w:hAnsiTheme="minorHAnsi" w:cstheme="minorHAnsi"/>
          <w:sz w:val="22"/>
          <w:szCs w:val="22"/>
          <w:u w:val="single"/>
        </w:rPr>
        <w:t>:</w:t>
      </w:r>
    </w:p>
    <w:p w14:paraId="0D105714" w14:textId="7CDFABF4"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Full support with setting</w:t>
      </w:r>
      <w:r w:rsidR="00405138">
        <w:rPr>
          <w:rFonts w:asciiTheme="minorHAnsi" w:hAnsiTheme="minorHAnsi" w:cstheme="minorHAnsi"/>
          <w:sz w:val="22"/>
          <w:szCs w:val="22"/>
        </w:rPr>
        <w:t>-</w:t>
      </w:r>
      <w:r w:rsidRPr="00CB731B">
        <w:rPr>
          <w:rFonts w:asciiTheme="minorHAnsi" w:hAnsiTheme="minorHAnsi" w:cstheme="minorHAnsi"/>
          <w:sz w:val="22"/>
          <w:szCs w:val="22"/>
        </w:rPr>
        <w:t>up (defining the process and key features, identifying main objectives and assessment areas, workflow, etc.)</w:t>
      </w:r>
    </w:p>
    <w:p w14:paraId="46E94CB1" w14:textId="77777777" w:rsidR="00CB731B" w:rsidRPr="00CB731B" w:rsidRDefault="00CB731B" w:rsidP="00CB731B">
      <w:pPr>
        <w:pStyle w:val="Default"/>
        <w:numPr>
          <w:ilvl w:val="0"/>
          <w:numId w:val="21"/>
        </w:numPr>
        <w:rPr>
          <w:rFonts w:asciiTheme="minorHAnsi" w:hAnsiTheme="minorHAnsi" w:cstheme="minorHAnsi"/>
          <w:sz w:val="22"/>
          <w:szCs w:val="22"/>
        </w:rPr>
      </w:pPr>
      <w:r w:rsidRPr="00CB731B">
        <w:rPr>
          <w:rFonts w:asciiTheme="minorHAnsi" w:hAnsiTheme="minorHAnsi" w:cstheme="minorHAnsi"/>
          <w:sz w:val="22"/>
          <w:szCs w:val="22"/>
        </w:rPr>
        <w:t>Running of the assessment itself (incl. provision of the tools/technology necessary for the assessment)</w:t>
      </w:r>
    </w:p>
    <w:p w14:paraId="7F300581" w14:textId="77777777" w:rsidR="00CB731B" w:rsidRPr="00CB731B" w:rsidRDefault="00230E88" w:rsidP="00CB731B">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Support with d</w:t>
      </w:r>
      <w:r w:rsidR="00CB731B" w:rsidRPr="00CB731B">
        <w:rPr>
          <w:rFonts w:asciiTheme="minorHAnsi" w:hAnsiTheme="minorHAnsi" w:cstheme="minorHAnsi"/>
          <w:sz w:val="22"/>
          <w:szCs w:val="22"/>
        </w:rPr>
        <w:t>e-briefing and follow-up</w:t>
      </w:r>
    </w:p>
    <w:p w14:paraId="70501295" w14:textId="77777777" w:rsidR="00CB731B" w:rsidRPr="00CB731B" w:rsidRDefault="00CB731B" w:rsidP="00CB731B">
      <w:pPr>
        <w:pStyle w:val="Default"/>
        <w:rPr>
          <w:rFonts w:asciiTheme="minorHAnsi" w:hAnsiTheme="minorHAnsi" w:cstheme="minorHAnsi"/>
          <w:sz w:val="22"/>
          <w:szCs w:val="22"/>
        </w:rPr>
      </w:pPr>
    </w:p>
    <w:p w14:paraId="4AE5CD8C" w14:textId="77777777" w:rsidR="00CB731B" w:rsidRPr="00915094" w:rsidRDefault="00CB731B" w:rsidP="00CB731B">
      <w:pPr>
        <w:pStyle w:val="Default"/>
        <w:ind w:left="720"/>
        <w:rPr>
          <w:rFonts w:asciiTheme="minorHAnsi" w:hAnsiTheme="minorHAnsi" w:cstheme="minorHAnsi"/>
          <w:color w:val="auto"/>
          <w:sz w:val="22"/>
          <w:szCs w:val="22"/>
          <w:u w:val="single"/>
        </w:rPr>
      </w:pPr>
      <w:r w:rsidRPr="00915094">
        <w:rPr>
          <w:rFonts w:asciiTheme="minorHAnsi" w:hAnsiTheme="minorHAnsi" w:cstheme="minorHAnsi"/>
          <w:color w:val="auto"/>
          <w:sz w:val="22"/>
          <w:szCs w:val="22"/>
          <w:u w:val="single"/>
        </w:rPr>
        <w:t>Time Frame:</w:t>
      </w:r>
    </w:p>
    <w:p w14:paraId="6D0B5198" w14:textId="77777777" w:rsidR="00CB731B" w:rsidRPr="00915094" w:rsidRDefault="00CB731B" w:rsidP="00CB731B">
      <w:pPr>
        <w:pStyle w:val="Default"/>
        <w:numPr>
          <w:ilvl w:val="0"/>
          <w:numId w:val="21"/>
        </w:numPr>
        <w:rPr>
          <w:rFonts w:asciiTheme="minorHAnsi" w:hAnsiTheme="minorHAnsi" w:cstheme="minorHAnsi"/>
          <w:color w:val="auto"/>
          <w:sz w:val="22"/>
          <w:szCs w:val="22"/>
        </w:rPr>
      </w:pPr>
      <w:r w:rsidRPr="00915094">
        <w:rPr>
          <w:rFonts w:asciiTheme="minorHAnsi" w:hAnsiTheme="minorHAnsi" w:cstheme="minorHAnsi"/>
          <w:color w:val="auto"/>
          <w:sz w:val="22"/>
          <w:szCs w:val="22"/>
        </w:rPr>
        <w:t>Pilot phase to be run in 2015-Q</w:t>
      </w:r>
      <w:r w:rsidR="00EC3414" w:rsidRPr="00915094">
        <w:rPr>
          <w:rFonts w:asciiTheme="minorHAnsi" w:hAnsiTheme="minorHAnsi" w:cstheme="minorHAnsi"/>
          <w:color w:val="auto"/>
          <w:sz w:val="22"/>
          <w:szCs w:val="22"/>
        </w:rPr>
        <w:t>2</w:t>
      </w:r>
      <w:r w:rsidRPr="00915094">
        <w:rPr>
          <w:rFonts w:asciiTheme="minorHAnsi" w:hAnsiTheme="minorHAnsi" w:cstheme="minorHAnsi"/>
          <w:color w:val="auto"/>
          <w:sz w:val="22"/>
          <w:szCs w:val="22"/>
        </w:rPr>
        <w:t>.</w:t>
      </w:r>
    </w:p>
    <w:p w14:paraId="664616F9" w14:textId="77777777" w:rsidR="00CB731B" w:rsidRPr="00915094" w:rsidRDefault="00CB731B" w:rsidP="00CB731B">
      <w:pPr>
        <w:pStyle w:val="Default"/>
        <w:numPr>
          <w:ilvl w:val="0"/>
          <w:numId w:val="21"/>
        </w:numPr>
        <w:rPr>
          <w:rFonts w:asciiTheme="minorHAnsi" w:hAnsiTheme="minorHAnsi" w:cstheme="minorHAnsi"/>
          <w:color w:val="auto"/>
          <w:sz w:val="22"/>
          <w:szCs w:val="22"/>
        </w:rPr>
      </w:pPr>
      <w:r w:rsidRPr="00915094">
        <w:rPr>
          <w:rFonts w:asciiTheme="minorHAnsi" w:hAnsiTheme="minorHAnsi" w:cstheme="minorHAnsi"/>
          <w:color w:val="auto"/>
          <w:sz w:val="22"/>
          <w:szCs w:val="22"/>
        </w:rPr>
        <w:t>All-management assessments to be concluded in 2015-Q4.</w:t>
      </w:r>
    </w:p>
    <w:p w14:paraId="6628A261" w14:textId="77777777" w:rsidR="00CA4F0F" w:rsidRDefault="00CA4F0F" w:rsidP="00CA4F0F">
      <w:pPr>
        <w:pStyle w:val="Default"/>
        <w:rPr>
          <w:rFonts w:asciiTheme="minorHAnsi" w:eastAsia="Times New Roman" w:hAnsiTheme="minorHAnsi" w:cstheme="minorHAnsi"/>
          <w:color w:val="auto"/>
          <w:sz w:val="22"/>
          <w:szCs w:val="22"/>
        </w:rPr>
      </w:pPr>
    </w:p>
    <w:p w14:paraId="3FEA55CE" w14:textId="77777777" w:rsidR="00151B5D" w:rsidRPr="00CA4F0F" w:rsidRDefault="00CA4F0F" w:rsidP="00CA4F0F">
      <w:pPr>
        <w:pStyle w:val="Default"/>
        <w:rPr>
          <w:rFonts w:asciiTheme="minorHAnsi" w:hAnsiTheme="minorHAnsi" w:cstheme="minorHAnsi"/>
          <w:b/>
          <w:bCs/>
          <w:color w:val="auto"/>
          <w:sz w:val="22"/>
          <w:szCs w:val="22"/>
        </w:rPr>
      </w:pPr>
      <w:r w:rsidRPr="00CA4F0F">
        <w:rPr>
          <w:rFonts w:asciiTheme="minorHAnsi" w:eastAsia="Times New Roman" w:hAnsiTheme="minorHAnsi" w:cstheme="minorHAnsi"/>
          <w:b/>
          <w:color w:val="auto"/>
          <w:sz w:val="22"/>
          <w:szCs w:val="22"/>
        </w:rPr>
        <w:t xml:space="preserve">Lot 3 – </w:t>
      </w:r>
      <w:r w:rsidR="00EC3414">
        <w:rPr>
          <w:rFonts w:asciiTheme="minorHAnsi" w:hAnsiTheme="minorHAnsi" w:cstheme="minorHAnsi"/>
          <w:b/>
          <w:bCs/>
          <w:color w:val="auto"/>
          <w:sz w:val="22"/>
          <w:szCs w:val="22"/>
        </w:rPr>
        <w:t xml:space="preserve">Ancillary </w:t>
      </w:r>
      <w:r w:rsidRPr="00CA4F0F">
        <w:rPr>
          <w:rFonts w:asciiTheme="minorHAnsi" w:hAnsiTheme="minorHAnsi" w:cstheme="minorHAnsi"/>
          <w:b/>
          <w:bCs/>
          <w:color w:val="auto"/>
          <w:sz w:val="22"/>
          <w:szCs w:val="22"/>
        </w:rPr>
        <w:t xml:space="preserve">HR-related </w:t>
      </w:r>
      <w:r w:rsidR="00EC3414">
        <w:rPr>
          <w:rFonts w:asciiTheme="minorHAnsi" w:hAnsiTheme="minorHAnsi" w:cstheme="minorHAnsi"/>
          <w:b/>
          <w:bCs/>
          <w:color w:val="auto"/>
          <w:sz w:val="22"/>
          <w:szCs w:val="22"/>
        </w:rPr>
        <w:t>services</w:t>
      </w:r>
    </w:p>
    <w:p w14:paraId="1BEA8F43" w14:textId="77777777" w:rsidR="00151B5D" w:rsidRPr="00CA4F0F" w:rsidRDefault="00151B5D" w:rsidP="00151B5D">
      <w:pPr>
        <w:pStyle w:val="Default"/>
        <w:rPr>
          <w:rFonts w:asciiTheme="minorHAnsi" w:hAnsiTheme="minorHAnsi" w:cstheme="minorHAnsi"/>
          <w:color w:val="auto"/>
          <w:sz w:val="22"/>
          <w:szCs w:val="22"/>
        </w:rPr>
      </w:pPr>
    </w:p>
    <w:p w14:paraId="1086C580" w14:textId="77777777" w:rsidR="00CA4F0F" w:rsidRPr="00CA4F0F" w:rsidRDefault="00CA4F0F" w:rsidP="00151B5D">
      <w:pPr>
        <w:pStyle w:val="Default"/>
        <w:rPr>
          <w:rFonts w:asciiTheme="minorHAnsi" w:hAnsiTheme="minorHAnsi" w:cstheme="minorHAnsi"/>
          <w:color w:val="auto"/>
          <w:sz w:val="22"/>
          <w:szCs w:val="22"/>
        </w:rPr>
      </w:pPr>
      <w:r w:rsidRPr="00CA4F0F">
        <w:rPr>
          <w:rFonts w:asciiTheme="minorHAnsi" w:hAnsiTheme="minorHAnsi" w:cstheme="minorHAnsi"/>
          <w:color w:val="auto"/>
          <w:sz w:val="22"/>
          <w:szCs w:val="22"/>
        </w:rPr>
        <w:t>Services described above – under Lots 1 and 2 – refer to tools, processes and activities mostly performed under the “Learning &amp; Development” scope. They are primarily intended to support individual and organisational competence development processes.</w:t>
      </w:r>
    </w:p>
    <w:p w14:paraId="1D536FE8" w14:textId="77777777" w:rsidR="00CA4F0F" w:rsidRPr="00CA4F0F" w:rsidRDefault="00CA4F0F" w:rsidP="00151B5D">
      <w:pPr>
        <w:pStyle w:val="Default"/>
        <w:rPr>
          <w:rFonts w:asciiTheme="minorHAnsi" w:hAnsiTheme="minorHAnsi" w:cstheme="minorHAnsi"/>
          <w:color w:val="auto"/>
          <w:sz w:val="22"/>
          <w:szCs w:val="22"/>
        </w:rPr>
      </w:pPr>
    </w:p>
    <w:p w14:paraId="24F8D7CC" w14:textId="77777777" w:rsidR="00CA4F0F" w:rsidRPr="00CA4F0F" w:rsidRDefault="00CA4F0F" w:rsidP="00151B5D">
      <w:pPr>
        <w:pStyle w:val="Default"/>
        <w:rPr>
          <w:rFonts w:asciiTheme="minorHAnsi" w:hAnsiTheme="minorHAnsi" w:cstheme="minorHAnsi"/>
          <w:color w:val="auto"/>
          <w:sz w:val="22"/>
          <w:szCs w:val="22"/>
        </w:rPr>
      </w:pPr>
      <w:r>
        <w:rPr>
          <w:rFonts w:asciiTheme="minorHAnsi" w:hAnsiTheme="minorHAnsi" w:cstheme="minorHAnsi"/>
          <w:color w:val="auto"/>
          <w:sz w:val="22"/>
          <w:szCs w:val="22"/>
        </w:rPr>
        <w:t>However, such features can also be used to in other HR-related areas such as recruitment, ap</w:t>
      </w:r>
      <w:r w:rsidR="00417C17">
        <w:rPr>
          <w:rFonts w:asciiTheme="minorHAnsi" w:hAnsiTheme="minorHAnsi" w:cstheme="minorHAnsi"/>
          <w:color w:val="auto"/>
          <w:sz w:val="22"/>
          <w:szCs w:val="22"/>
        </w:rPr>
        <w:t xml:space="preserve">praisals, talent management </w:t>
      </w:r>
      <w:r w:rsidR="00EC3414">
        <w:rPr>
          <w:rFonts w:asciiTheme="minorHAnsi" w:hAnsiTheme="minorHAnsi" w:cstheme="minorHAnsi"/>
          <w:color w:val="auto"/>
          <w:sz w:val="22"/>
          <w:szCs w:val="22"/>
        </w:rPr>
        <w:t>and internal</w:t>
      </w:r>
      <w:r w:rsidR="00417C17">
        <w:rPr>
          <w:rFonts w:asciiTheme="minorHAnsi" w:hAnsiTheme="minorHAnsi" w:cstheme="minorHAnsi"/>
          <w:color w:val="auto"/>
          <w:sz w:val="22"/>
          <w:szCs w:val="22"/>
        </w:rPr>
        <w:t xml:space="preserve"> mobility, HR resourcing and planning.</w:t>
      </w:r>
    </w:p>
    <w:p w14:paraId="797B6FA4" w14:textId="77777777" w:rsidR="00CA4F0F" w:rsidRDefault="00CA4F0F" w:rsidP="00151B5D">
      <w:pPr>
        <w:pStyle w:val="Default"/>
        <w:rPr>
          <w:rFonts w:asciiTheme="minorHAnsi" w:hAnsiTheme="minorHAnsi" w:cstheme="minorHAnsi"/>
          <w:color w:val="auto"/>
          <w:sz w:val="22"/>
          <w:szCs w:val="22"/>
        </w:rPr>
      </w:pPr>
    </w:p>
    <w:p w14:paraId="0F76F22C" w14:textId="6A9246C0" w:rsidR="00417C17" w:rsidRDefault="00417C17" w:rsidP="00151B5D">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Under Lot3, </w:t>
      </w:r>
      <w:r w:rsidR="00405138">
        <w:rPr>
          <w:rFonts w:asciiTheme="minorHAnsi" w:hAnsiTheme="minorHAnsi" w:cstheme="minorHAnsi"/>
          <w:color w:val="auto"/>
          <w:sz w:val="22"/>
          <w:szCs w:val="22"/>
        </w:rPr>
        <w:t xml:space="preserve">the EEA </w:t>
      </w:r>
      <w:r>
        <w:rPr>
          <w:rFonts w:asciiTheme="minorHAnsi" w:hAnsiTheme="minorHAnsi" w:cstheme="minorHAnsi"/>
          <w:color w:val="auto"/>
          <w:sz w:val="22"/>
          <w:szCs w:val="22"/>
        </w:rPr>
        <w:t>request</w:t>
      </w:r>
      <w:r w:rsidR="00405138">
        <w:rPr>
          <w:rFonts w:asciiTheme="minorHAnsi" w:hAnsiTheme="minorHAnsi" w:cstheme="minorHAnsi"/>
          <w:color w:val="auto"/>
          <w:sz w:val="22"/>
          <w:szCs w:val="22"/>
        </w:rPr>
        <w:t>s</w:t>
      </w:r>
      <w:r>
        <w:rPr>
          <w:rFonts w:asciiTheme="minorHAnsi" w:hAnsiTheme="minorHAnsi" w:cstheme="minorHAnsi"/>
          <w:color w:val="auto"/>
          <w:sz w:val="22"/>
          <w:szCs w:val="22"/>
        </w:rPr>
        <w:t xml:space="preserve"> tenderers to </w:t>
      </w:r>
      <w:r w:rsidR="00EC3414">
        <w:rPr>
          <w:rFonts w:asciiTheme="minorHAnsi" w:hAnsiTheme="minorHAnsi" w:cstheme="minorHAnsi"/>
          <w:color w:val="auto"/>
          <w:sz w:val="22"/>
          <w:szCs w:val="22"/>
        </w:rPr>
        <w:t xml:space="preserve">describe and </w:t>
      </w:r>
      <w:r>
        <w:rPr>
          <w:rFonts w:asciiTheme="minorHAnsi" w:hAnsiTheme="minorHAnsi" w:cstheme="minorHAnsi"/>
          <w:color w:val="auto"/>
          <w:sz w:val="22"/>
          <w:szCs w:val="22"/>
        </w:rPr>
        <w:t xml:space="preserve">propose additional </w:t>
      </w:r>
      <w:r w:rsidR="00EC3414">
        <w:rPr>
          <w:rFonts w:asciiTheme="minorHAnsi" w:hAnsiTheme="minorHAnsi" w:cstheme="minorHAnsi"/>
          <w:color w:val="auto"/>
          <w:sz w:val="22"/>
          <w:szCs w:val="22"/>
        </w:rPr>
        <w:t xml:space="preserve">services and </w:t>
      </w:r>
      <w:r>
        <w:rPr>
          <w:rFonts w:asciiTheme="minorHAnsi" w:hAnsiTheme="minorHAnsi" w:cstheme="minorHAnsi"/>
          <w:color w:val="auto"/>
          <w:sz w:val="22"/>
          <w:szCs w:val="22"/>
        </w:rPr>
        <w:t>features (tools, processes, frameworks,…) that enable the usage of 360</w:t>
      </w:r>
      <w:r w:rsidR="00405138">
        <w:rPr>
          <w:rFonts w:asciiTheme="minorHAnsi" w:hAnsiTheme="minorHAnsi" w:cstheme="minorHAnsi"/>
          <w:color w:val="auto"/>
          <w:sz w:val="22"/>
          <w:szCs w:val="22"/>
        </w:rPr>
        <w:t>°</w:t>
      </w:r>
      <w:r>
        <w:rPr>
          <w:rFonts w:asciiTheme="minorHAnsi" w:hAnsiTheme="minorHAnsi" w:cstheme="minorHAnsi"/>
          <w:color w:val="auto"/>
          <w:sz w:val="22"/>
          <w:szCs w:val="22"/>
        </w:rPr>
        <w:t xml:space="preserve"> assessments and the EEA competency framework within the HR-related areas mentioned above, in the most integrated and coherent way possible.</w:t>
      </w:r>
    </w:p>
    <w:p w14:paraId="613544BE" w14:textId="77777777" w:rsidR="00417C17" w:rsidRDefault="00417C17" w:rsidP="00151B5D">
      <w:pPr>
        <w:pStyle w:val="Default"/>
        <w:rPr>
          <w:rFonts w:asciiTheme="minorHAnsi" w:hAnsiTheme="minorHAnsi" w:cstheme="minorHAnsi"/>
          <w:color w:val="auto"/>
          <w:sz w:val="22"/>
          <w:szCs w:val="22"/>
        </w:rPr>
      </w:pPr>
    </w:p>
    <w:p w14:paraId="539B2728" w14:textId="77777777" w:rsidR="00CB731B" w:rsidRPr="00CB731B" w:rsidRDefault="00417C17" w:rsidP="00CB731B">
      <w:pPr>
        <w:outlineLvl w:val="0"/>
        <w:rPr>
          <w:rFonts w:asciiTheme="minorHAnsi" w:hAnsiTheme="minorHAnsi" w:cstheme="minorHAnsi"/>
          <w:sz w:val="22"/>
          <w:szCs w:val="22"/>
          <w:lang w:val="en-GB"/>
        </w:rPr>
      </w:pPr>
      <w:r>
        <w:rPr>
          <w:rFonts w:asciiTheme="minorHAnsi" w:hAnsiTheme="minorHAnsi" w:cstheme="minorHAnsi"/>
          <w:sz w:val="22"/>
          <w:szCs w:val="22"/>
          <w:lang w:val="en-GB"/>
        </w:rPr>
        <w:t xml:space="preserve">The implementation of such additional features will be decided on an ad-hoc basis, following the </w:t>
      </w:r>
      <w:r w:rsidR="00EC3414">
        <w:rPr>
          <w:rFonts w:asciiTheme="minorHAnsi" w:hAnsiTheme="minorHAnsi" w:cstheme="minorHAnsi"/>
          <w:sz w:val="22"/>
          <w:szCs w:val="22"/>
          <w:lang w:val="en-GB"/>
        </w:rPr>
        <w:t xml:space="preserve">primary </w:t>
      </w:r>
      <w:r>
        <w:rPr>
          <w:rFonts w:asciiTheme="minorHAnsi" w:hAnsiTheme="minorHAnsi" w:cstheme="minorHAnsi"/>
          <w:sz w:val="22"/>
          <w:szCs w:val="22"/>
          <w:lang w:val="en-GB"/>
        </w:rPr>
        <w:t>delivery of the services described under lots 1 and 2.</w:t>
      </w:r>
    </w:p>
    <w:p w14:paraId="023A0639" w14:textId="08B1172F" w:rsidR="005F1495" w:rsidRPr="00CB731B" w:rsidRDefault="005F1495" w:rsidP="005F1495">
      <w:pPr>
        <w:rPr>
          <w:rFonts w:asciiTheme="minorHAnsi" w:hAnsiTheme="minorHAnsi" w:cs="Arial"/>
          <w:i/>
          <w:sz w:val="22"/>
          <w:szCs w:val="22"/>
          <w:lang w:val="en-GB"/>
        </w:rPr>
      </w:pPr>
      <w:r w:rsidRPr="00CB731B">
        <w:rPr>
          <w:rFonts w:asciiTheme="minorHAnsi" w:hAnsiTheme="minorHAnsi" w:cs="Arial"/>
          <w:i/>
          <w:sz w:val="22"/>
          <w:szCs w:val="22"/>
          <w:lang w:val="en-GB"/>
        </w:rPr>
        <w:t>6.</w:t>
      </w:r>
      <w:r w:rsidR="00405138">
        <w:rPr>
          <w:rFonts w:asciiTheme="minorHAnsi" w:hAnsiTheme="minorHAnsi" w:cs="Arial"/>
          <w:i/>
          <w:sz w:val="22"/>
          <w:szCs w:val="22"/>
          <w:lang w:val="en-GB"/>
        </w:rPr>
        <w:t>3</w:t>
      </w:r>
      <w:r w:rsidR="00917AD6" w:rsidRPr="00CB731B">
        <w:rPr>
          <w:rFonts w:asciiTheme="minorHAnsi" w:hAnsiTheme="minorHAnsi" w:cs="Arial"/>
          <w:i/>
          <w:sz w:val="22"/>
          <w:szCs w:val="22"/>
          <w:lang w:val="en-GB"/>
        </w:rPr>
        <w:tab/>
        <w:t>Ordering procedure</w:t>
      </w:r>
    </w:p>
    <w:p w14:paraId="070D6046" w14:textId="41DD9181" w:rsidR="00AB583C" w:rsidRPr="00CB731B" w:rsidRDefault="00917AD6" w:rsidP="000A7F85">
      <w:pPr>
        <w:autoSpaceDE w:val="0"/>
        <w:autoSpaceDN w:val="0"/>
        <w:adjustRightInd w:val="0"/>
        <w:spacing w:after="120"/>
        <w:rPr>
          <w:rFonts w:asciiTheme="minorHAnsi" w:hAnsiTheme="minorHAnsi" w:cs="Arial"/>
          <w:sz w:val="22"/>
          <w:szCs w:val="22"/>
          <w:lang w:val="en-GB"/>
        </w:rPr>
      </w:pPr>
      <w:r w:rsidRPr="00AB583C">
        <w:rPr>
          <w:rFonts w:asciiTheme="minorHAnsi" w:hAnsiTheme="minorHAnsi" w:cs="Arial"/>
          <w:sz w:val="22"/>
          <w:szCs w:val="22"/>
          <w:lang w:val="en-GB"/>
        </w:rPr>
        <w:t xml:space="preserve">As a rule, the EEA will send its request for </w:t>
      </w:r>
      <w:r w:rsidR="00933994" w:rsidRPr="00AB583C">
        <w:rPr>
          <w:rFonts w:asciiTheme="minorHAnsi" w:hAnsiTheme="minorHAnsi" w:cs="Arial"/>
          <w:sz w:val="22"/>
          <w:szCs w:val="22"/>
          <w:lang w:val="en-GB"/>
        </w:rPr>
        <w:t xml:space="preserve">services by means of </w:t>
      </w:r>
      <w:r w:rsidR="00933994" w:rsidRPr="00915094">
        <w:rPr>
          <w:rFonts w:asciiTheme="minorHAnsi" w:hAnsiTheme="minorHAnsi" w:cs="Arial"/>
          <w:sz w:val="22"/>
          <w:szCs w:val="22"/>
          <w:lang w:val="en-GB"/>
        </w:rPr>
        <w:t>an order form (</w:t>
      </w:r>
      <w:r w:rsidR="00405138" w:rsidRPr="00915094">
        <w:rPr>
          <w:rFonts w:asciiTheme="minorHAnsi" w:hAnsiTheme="minorHAnsi" w:cs="Arial"/>
          <w:sz w:val="22"/>
          <w:szCs w:val="22"/>
          <w:lang w:val="en-GB"/>
        </w:rPr>
        <w:t>see annex 6 – draft framework contract and draft order form</w:t>
      </w:r>
      <w:r w:rsidR="00933994" w:rsidRPr="00915094">
        <w:rPr>
          <w:rFonts w:asciiTheme="minorHAnsi" w:hAnsiTheme="minorHAnsi" w:cs="Arial"/>
          <w:sz w:val="22"/>
          <w:szCs w:val="22"/>
          <w:lang w:val="en-GB"/>
        </w:rPr>
        <w:t>).</w:t>
      </w:r>
      <w:r w:rsidR="00AB583C" w:rsidRPr="00915094">
        <w:rPr>
          <w:rFonts w:asciiTheme="minorHAnsi" w:hAnsiTheme="minorHAnsi" w:cs="Arial"/>
          <w:sz w:val="22"/>
          <w:szCs w:val="22"/>
          <w:lang w:val="en-GB"/>
        </w:rPr>
        <w:t xml:space="preserve"> </w:t>
      </w:r>
      <w:r w:rsidR="00AB583C" w:rsidRPr="00CB731B">
        <w:rPr>
          <w:rFonts w:asciiTheme="minorHAnsi" w:hAnsiTheme="minorHAnsi" w:cs="Arial"/>
          <w:sz w:val="22"/>
          <w:szCs w:val="22"/>
          <w:lang w:val="en-GB"/>
        </w:rPr>
        <w:t xml:space="preserve">A contact person who will deal with the </w:t>
      </w:r>
      <w:r w:rsidR="00AB583C" w:rsidRPr="00ED069B">
        <w:rPr>
          <w:rFonts w:asciiTheme="minorHAnsi" w:hAnsiTheme="minorHAnsi" w:cs="Arial"/>
          <w:sz w:val="22"/>
          <w:szCs w:val="22"/>
          <w:lang w:val="en-GB"/>
        </w:rPr>
        <w:t xml:space="preserve">ordering procedure </w:t>
      </w:r>
      <w:r w:rsidR="00AB583C" w:rsidRPr="00CB731B">
        <w:rPr>
          <w:rFonts w:asciiTheme="minorHAnsi" w:hAnsiTheme="minorHAnsi" w:cs="Arial"/>
          <w:sz w:val="22"/>
          <w:szCs w:val="22"/>
          <w:lang w:val="en-GB"/>
        </w:rPr>
        <w:t>will have to be appointed by the contractor.</w:t>
      </w:r>
      <w:r w:rsidR="00AB583C" w:rsidRPr="00AB583C">
        <w:rPr>
          <w:rFonts w:asciiTheme="minorHAnsi" w:hAnsiTheme="minorHAnsi" w:cs="Arial"/>
          <w:sz w:val="22"/>
          <w:szCs w:val="22"/>
          <w:lang w:val="en-GB"/>
        </w:rPr>
        <w:t xml:space="preserve"> </w:t>
      </w:r>
      <w:r w:rsidR="00AB583C" w:rsidRPr="00CB731B">
        <w:rPr>
          <w:rFonts w:asciiTheme="minorHAnsi" w:hAnsiTheme="minorHAnsi" w:cs="Arial"/>
          <w:sz w:val="22"/>
          <w:szCs w:val="22"/>
          <w:lang w:val="en-GB"/>
        </w:rPr>
        <w:t xml:space="preserve">The contact person will need to be fluent in English and </w:t>
      </w:r>
      <w:r w:rsidR="00AB583C">
        <w:rPr>
          <w:rFonts w:asciiTheme="minorHAnsi" w:hAnsiTheme="minorHAnsi" w:cs="Arial"/>
          <w:sz w:val="22"/>
          <w:szCs w:val="22"/>
          <w:lang w:val="en-GB"/>
        </w:rPr>
        <w:t>have total awareness of the current tender specifications.</w:t>
      </w:r>
    </w:p>
    <w:p w14:paraId="27330D50" w14:textId="6C23D734" w:rsidR="00D23CA4" w:rsidRPr="00AB583C" w:rsidRDefault="00D23CA4" w:rsidP="000A7F85">
      <w:pPr>
        <w:autoSpaceDE w:val="0"/>
        <w:autoSpaceDN w:val="0"/>
        <w:adjustRightInd w:val="0"/>
        <w:spacing w:after="120"/>
        <w:rPr>
          <w:rFonts w:asciiTheme="minorHAnsi" w:hAnsiTheme="minorHAnsi" w:cs="Arial"/>
          <w:sz w:val="22"/>
          <w:szCs w:val="22"/>
          <w:lang w:val="en-GB"/>
        </w:rPr>
      </w:pPr>
      <w:r w:rsidRPr="00AB583C">
        <w:rPr>
          <w:rFonts w:asciiTheme="minorHAnsi" w:hAnsiTheme="minorHAnsi" w:cs="Arial"/>
          <w:sz w:val="22"/>
          <w:szCs w:val="22"/>
          <w:lang w:val="en-GB"/>
        </w:rPr>
        <w:t xml:space="preserve">Prior to each service being ordered, the EEA will request a draft proposal of the specific service at stake, including an overview of key deliverables, methodology and schedule. </w:t>
      </w:r>
      <w:r w:rsidR="00CF40C3" w:rsidRPr="00AB583C">
        <w:rPr>
          <w:rFonts w:asciiTheme="minorHAnsi" w:hAnsiTheme="minorHAnsi" w:cs="Arial"/>
          <w:sz w:val="22"/>
          <w:szCs w:val="22"/>
          <w:lang w:val="en-GB"/>
        </w:rPr>
        <w:t xml:space="preserve">The EEA will then examine the proposal in order to assess </w:t>
      </w:r>
      <w:r w:rsidR="00CF40C3" w:rsidRPr="00AB583C">
        <w:rPr>
          <w:rFonts w:asciiTheme="minorHAnsi" w:eastAsiaTheme="minorHAnsi" w:hAnsiTheme="minorHAnsi" w:cstheme="minorHAnsi"/>
          <w:sz w:val="22"/>
          <w:szCs w:val="22"/>
          <w:lang w:val="en-GB"/>
        </w:rPr>
        <w:t xml:space="preserve">whether </w:t>
      </w:r>
      <w:r w:rsidR="00405138">
        <w:rPr>
          <w:rFonts w:asciiTheme="minorHAnsi" w:eastAsiaTheme="minorHAnsi" w:hAnsiTheme="minorHAnsi" w:cstheme="minorHAnsi"/>
          <w:sz w:val="22"/>
          <w:szCs w:val="22"/>
          <w:lang w:val="en-GB"/>
        </w:rPr>
        <w:t>it</w:t>
      </w:r>
      <w:r w:rsidR="00405138" w:rsidRPr="00AB583C">
        <w:rPr>
          <w:rFonts w:asciiTheme="minorHAnsi" w:eastAsiaTheme="minorHAnsi" w:hAnsiTheme="minorHAnsi" w:cstheme="minorHAnsi"/>
          <w:sz w:val="22"/>
          <w:szCs w:val="22"/>
          <w:lang w:val="en-GB"/>
        </w:rPr>
        <w:t xml:space="preserve"> </w:t>
      </w:r>
      <w:r w:rsidR="00CF40C3" w:rsidRPr="00AB583C">
        <w:rPr>
          <w:rFonts w:asciiTheme="minorHAnsi" w:eastAsiaTheme="minorHAnsi" w:hAnsiTheme="minorHAnsi" w:cstheme="minorHAnsi"/>
          <w:sz w:val="22"/>
          <w:szCs w:val="22"/>
          <w:lang w:val="en-GB"/>
        </w:rPr>
        <w:t xml:space="preserve">meets the needs and requirements. </w:t>
      </w:r>
      <w:r w:rsidR="00405138">
        <w:rPr>
          <w:rFonts w:asciiTheme="minorHAnsi" w:eastAsiaTheme="minorHAnsi" w:hAnsiTheme="minorHAnsi" w:cstheme="minorHAnsi"/>
          <w:sz w:val="22"/>
          <w:szCs w:val="22"/>
          <w:lang w:val="en-GB"/>
        </w:rPr>
        <w:t xml:space="preserve">The </w:t>
      </w:r>
      <w:r w:rsidR="00CF40C3" w:rsidRPr="00AB583C">
        <w:rPr>
          <w:rFonts w:asciiTheme="minorHAnsi" w:eastAsiaTheme="minorHAnsi" w:hAnsiTheme="minorHAnsi" w:cstheme="minorHAnsi"/>
          <w:sz w:val="22"/>
          <w:szCs w:val="22"/>
          <w:lang w:val="en-GB"/>
        </w:rPr>
        <w:t xml:space="preserve">EEA may request further customisation of the services for which purpose the EEA might </w:t>
      </w:r>
      <w:r w:rsidR="00CF40C3" w:rsidRPr="00AB583C">
        <w:rPr>
          <w:rFonts w:asciiTheme="minorHAnsi" w:hAnsiTheme="minorHAnsi" w:cstheme="minorHAnsi"/>
          <w:sz w:val="22"/>
          <w:szCs w:val="22"/>
          <w:lang w:val="en-GB"/>
        </w:rPr>
        <w:t xml:space="preserve">engage with the contractor in fine-tuning the </w:t>
      </w:r>
      <w:r w:rsidR="00AB583C" w:rsidRPr="00AB583C">
        <w:rPr>
          <w:rFonts w:asciiTheme="minorHAnsi" w:hAnsiTheme="minorHAnsi" w:cstheme="minorHAnsi"/>
          <w:sz w:val="22"/>
          <w:szCs w:val="22"/>
          <w:lang w:val="en-GB"/>
        </w:rPr>
        <w:t>original</w:t>
      </w:r>
      <w:r w:rsidR="00CF40C3" w:rsidRPr="00AB583C">
        <w:rPr>
          <w:rFonts w:asciiTheme="minorHAnsi" w:hAnsiTheme="minorHAnsi" w:cstheme="minorHAnsi"/>
          <w:sz w:val="22"/>
          <w:szCs w:val="22"/>
          <w:lang w:val="en-GB"/>
        </w:rPr>
        <w:t xml:space="preserve"> proposal.</w:t>
      </w:r>
      <w:r w:rsidR="00AB583C">
        <w:rPr>
          <w:rFonts w:asciiTheme="minorHAnsi" w:hAnsiTheme="minorHAnsi" w:cstheme="minorHAnsi"/>
          <w:sz w:val="22"/>
          <w:szCs w:val="22"/>
          <w:lang w:val="en-GB"/>
        </w:rPr>
        <w:t xml:space="preserve"> </w:t>
      </w:r>
      <w:r w:rsidR="00CF40C3" w:rsidRPr="00AB583C">
        <w:rPr>
          <w:rFonts w:asciiTheme="minorHAnsi" w:hAnsiTheme="minorHAnsi" w:cstheme="minorHAnsi"/>
          <w:sz w:val="22"/>
          <w:szCs w:val="22"/>
          <w:lang w:val="en-GB"/>
        </w:rPr>
        <w:t>T</w:t>
      </w:r>
      <w:r w:rsidR="00CF40C3" w:rsidRPr="00AB583C">
        <w:rPr>
          <w:rFonts w:asciiTheme="minorHAnsi" w:eastAsiaTheme="minorHAnsi" w:hAnsiTheme="minorHAnsi" w:cstheme="minorHAnsi"/>
          <w:sz w:val="22"/>
          <w:szCs w:val="22"/>
          <w:lang w:val="en-GB"/>
        </w:rPr>
        <w:t xml:space="preserve">he contractor may be requested to submit a </w:t>
      </w:r>
      <w:r w:rsidR="00CF40C3" w:rsidRPr="00AB583C">
        <w:rPr>
          <w:rFonts w:asciiTheme="minorHAnsi" w:eastAsiaTheme="minorHAnsi" w:hAnsiTheme="minorHAnsi" w:cstheme="minorHAnsi"/>
          <w:sz w:val="22"/>
          <w:szCs w:val="22"/>
          <w:lang w:val="en-GB"/>
        </w:rPr>
        <w:lastRenderedPageBreak/>
        <w:t xml:space="preserve">new proposal that incorporates the additional requests from EEA. </w:t>
      </w:r>
      <w:r w:rsidR="007153D1" w:rsidRPr="00AB583C">
        <w:rPr>
          <w:rFonts w:asciiTheme="minorHAnsi" w:hAnsiTheme="minorHAnsi" w:cstheme="minorHAnsi"/>
          <w:sz w:val="22"/>
          <w:szCs w:val="22"/>
          <w:lang w:val="en-GB"/>
        </w:rPr>
        <w:t>Once an agreement on the specific services to be delivered</w:t>
      </w:r>
      <w:r w:rsidR="00CF40C3" w:rsidRPr="00AB583C">
        <w:rPr>
          <w:rFonts w:asciiTheme="minorHAnsi" w:hAnsiTheme="minorHAnsi" w:cstheme="minorHAnsi"/>
          <w:sz w:val="22"/>
          <w:szCs w:val="22"/>
          <w:lang w:val="en-GB"/>
        </w:rPr>
        <w:t xml:space="preserve"> is reached</w:t>
      </w:r>
      <w:r w:rsidR="007153D1" w:rsidRPr="00AB583C">
        <w:rPr>
          <w:rFonts w:asciiTheme="minorHAnsi" w:hAnsiTheme="minorHAnsi" w:cstheme="minorHAnsi"/>
          <w:sz w:val="22"/>
          <w:szCs w:val="22"/>
          <w:lang w:val="en-GB"/>
        </w:rPr>
        <w:t xml:space="preserve">, the EEA will then issue the respective order form, based on </w:t>
      </w:r>
      <w:r w:rsidRPr="00AB583C">
        <w:rPr>
          <w:rFonts w:asciiTheme="minorHAnsi" w:hAnsiTheme="minorHAnsi" w:cstheme="minorHAnsi"/>
          <w:sz w:val="22"/>
          <w:szCs w:val="22"/>
          <w:lang w:val="en-GB"/>
        </w:rPr>
        <w:t>the pricing agreed</w:t>
      </w:r>
      <w:r w:rsidRPr="00AB583C">
        <w:rPr>
          <w:rFonts w:asciiTheme="minorHAnsi" w:hAnsiTheme="minorHAnsi" w:cs="Arial"/>
          <w:sz w:val="22"/>
          <w:szCs w:val="22"/>
          <w:lang w:val="en-GB"/>
        </w:rPr>
        <w:t xml:space="preserve"> through this tendering procedure.</w:t>
      </w:r>
    </w:p>
    <w:p w14:paraId="6C928327" w14:textId="77777777" w:rsidR="00917AD6" w:rsidRPr="00AB583C" w:rsidRDefault="00D23CA4" w:rsidP="000A7F85">
      <w:pPr>
        <w:pStyle w:val="Body"/>
        <w:spacing w:after="120"/>
        <w:jc w:val="both"/>
        <w:rPr>
          <w:rFonts w:asciiTheme="minorHAnsi" w:hAnsiTheme="minorHAnsi" w:cs="Arial"/>
          <w:sz w:val="22"/>
          <w:szCs w:val="22"/>
        </w:rPr>
      </w:pPr>
      <w:r w:rsidRPr="00AB583C">
        <w:rPr>
          <w:rFonts w:asciiTheme="minorHAnsi" w:hAnsiTheme="minorHAnsi" w:cs="Arial"/>
          <w:sz w:val="22"/>
          <w:szCs w:val="22"/>
        </w:rPr>
        <w:t>The EEA reserves the right to NOT issue an order form, should the proposal of the contractor for the specific service at stake be unsatisfactory.</w:t>
      </w:r>
    </w:p>
    <w:p w14:paraId="4BBE5C9A" w14:textId="565A724B" w:rsidR="00D23CA4" w:rsidRPr="00AB583C" w:rsidRDefault="007153D1" w:rsidP="000A7F85">
      <w:pPr>
        <w:pStyle w:val="Body"/>
        <w:spacing w:after="120"/>
        <w:jc w:val="both"/>
        <w:rPr>
          <w:rFonts w:asciiTheme="minorHAnsi" w:hAnsiTheme="minorHAnsi" w:cs="Arial"/>
          <w:sz w:val="22"/>
          <w:szCs w:val="22"/>
        </w:rPr>
      </w:pPr>
      <w:r w:rsidRPr="00AB583C">
        <w:rPr>
          <w:rFonts w:asciiTheme="minorHAnsi" w:hAnsiTheme="minorHAnsi" w:cs="Arial"/>
          <w:sz w:val="22"/>
          <w:szCs w:val="22"/>
        </w:rPr>
        <w:t xml:space="preserve">The contractor will have up to </w:t>
      </w:r>
      <w:r w:rsidR="007D6479">
        <w:rPr>
          <w:rFonts w:asciiTheme="minorHAnsi" w:hAnsiTheme="minorHAnsi" w:cs="Arial"/>
          <w:sz w:val="22"/>
          <w:szCs w:val="22"/>
        </w:rPr>
        <w:t>5 (</w:t>
      </w:r>
      <w:r w:rsidRPr="00AB583C">
        <w:rPr>
          <w:rFonts w:asciiTheme="minorHAnsi" w:hAnsiTheme="minorHAnsi" w:cs="Arial"/>
          <w:sz w:val="22"/>
          <w:szCs w:val="22"/>
        </w:rPr>
        <w:t>five</w:t>
      </w:r>
      <w:r w:rsidR="007D6479">
        <w:rPr>
          <w:rFonts w:asciiTheme="minorHAnsi" w:hAnsiTheme="minorHAnsi" w:cs="Arial"/>
          <w:sz w:val="22"/>
          <w:szCs w:val="22"/>
        </w:rPr>
        <w:t>)</w:t>
      </w:r>
      <w:r w:rsidRPr="00AB583C">
        <w:rPr>
          <w:rFonts w:asciiTheme="minorHAnsi" w:hAnsiTheme="minorHAnsi" w:cs="Arial"/>
          <w:sz w:val="22"/>
          <w:szCs w:val="22"/>
        </w:rPr>
        <w:t xml:space="preserve"> working days to sign the order form and send it back to the EEA, by email. </w:t>
      </w:r>
      <w:r w:rsidR="007D6479">
        <w:rPr>
          <w:rFonts w:asciiTheme="minorHAnsi" w:hAnsiTheme="minorHAnsi" w:cs="Arial"/>
          <w:sz w:val="22"/>
          <w:szCs w:val="22"/>
        </w:rPr>
        <w:t xml:space="preserve">Provision of the services shall begin immediately upon signature of the order form by both contracting parties. </w:t>
      </w:r>
    </w:p>
    <w:p w14:paraId="60F351B1" w14:textId="26BE624C" w:rsidR="00910FC4" w:rsidRPr="00AB583C" w:rsidRDefault="00910FC4" w:rsidP="000A7F85">
      <w:pPr>
        <w:pStyle w:val="ListBullet1"/>
        <w:numPr>
          <w:ilvl w:val="0"/>
          <w:numId w:val="0"/>
        </w:numPr>
        <w:tabs>
          <w:tab w:val="left" w:pos="709"/>
        </w:tabs>
        <w:spacing w:after="120"/>
        <w:rPr>
          <w:rFonts w:asciiTheme="minorHAnsi" w:hAnsiTheme="minorHAnsi" w:cstheme="minorHAnsi"/>
          <w:sz w:val="22"/>
          <w:szCs w:val="22"/>
          <w:lang w:val="en-GB"/>
        </w:rPr>
      </w:pPr>
      <w:r w:rsidRPr="00AB583C">
        <w:rPr>
          <w:rFonts w:asciiTheme="minorHAnsi" w:hAnsiTheme="minorHAnsi" w:cstheme="minorHAnsi"/>
          <w:sz w:val="22"/>
          <w:szCs w:val="22"/>
          <w:lang w:val="en-GB"/>
        </w:rPr>
        <w:t xml:space="preserve">Unless stated/agreed otherwise, the </w:t>
      </w:r>
      <w:r w:rsidR="007D6479">
        <w:rPr>
          <w:rFonts w:asciiTheme="minorHAnsi" w:hAnsiTheme="minorHAnsi" w:cstheme="minorHAnsi"/>
          <w:sz w:val="22"/>
          <w:szCs w:val="22"/>
          <w:lang w:val="en-GB"/>
        </w:rPr>
        <w:t>contractor</w:t>
      </w:r>
      <w:r w:rsidRPr="00AB583C">
        <w:rPr>
          <w:rFonts w:asciiTheme="minorHAnsi" w:hAnsiTheme="minorHAnsi" w:cstheme="minorHAnsi"/>
          <w:sz w:val="22"/>
          <w:szCs w:val="22"/>
          <w:lang w:val="en-GB"/>
        </w:rPr>
        <w:t xml:space="preserve"> is required to reply to all queries from EEA within 5 </w:t>
      </w:r>
      <w:r w:rsidR="007D6479">
        <w:rPr>
          <w:rFonts w:asciiTheme="minorHAnsi" w:hAnsiTheme="minorHAnsi" w:cstheme="minorHAnsi"/>
          <w:sz w:val="22"/>
          <w:szCs w:val="22"/>
          <w:lang w:val="en-GB"/>
        </w:rPr>
        <w:t xml:space="preserve">(five) </w:t>
      </w:r>
      <w:r w:rsidRPr="00AB583C">
        <w:rPr>
          <w:rFonts w:asciiTheme="minorHAnsi" w:hAnsiTheme="minorHAnsi" w:cstheme="minorHAnsi"/>
          <w:sz w:val="22"/>
          <w:szCs w:val="22"/>
          <w:lang w:val="en-GB"/>
        </w:rPr>
        <w:t xml:space="preserve">working days. Thus, the </w:t>
      </w:r>
      <w:r w:rsidR="007D6479">
        <w:rPr>
          <w:rFonts w:asciiTheme="minorHAnsi" w:hAnsiTheme="minorHAnsi" w:cstheme="minorHAnsi"/>
          <w:sz w:val="22"/>
          <w:szCs w:val="22"/>
          <w:lang w:val="en-GB"/>
        </w:rPr>
        <w:t>contractor</w:t>
      </w:r>
      <w:r w:rsidRPr="00AB583C">
        <w:rPr>
          <w:rFonts w:asciiTheme="minorHAnsi" w:hAnsiTheme="minorHAnsi" w:cstheme="minorHAnsi"/>
          <w:sz w:val="22"/>
          <w:szCs w:val="22"/>
          <w:lang w:val="en-GB"/>
        </w:rPr>
        <w:t xml:space="preserve"> is expected to provide sufficient backups for its administrative staff in order to provide a continuous quality service at all times.</w:t>
      </w:r>
      <w:r w:rsidR="007D6479" w:rsidRPr="007D6479">
        <w:rPr>
          <w:rFonts w:asciiTheme="minorHAnsi" w:hAnsiTheme="minorHAnsi" w:cstheme="minorHAnsi"/>
          <w:sz w:val="22"/>
          <w:szCs w:val="22"/>
          <w:lang w:val="en-GB"/>
        </w:rPr>
        <w:t xml:space="preserve"> </w:t>
      </w:r>
      <w:r w:rsidR="007D6479">
        <w:rPr>
          <w:rFonts w:asciiTheme="minorHAnsi" w:hAnsiTheme="minorHAnsi" w:cstheme="minorHAnsi"/>
          <w:sz w:val="22"/>
          <w:szCs w:val="22"/>
          <w:lang w:val="en-GB"/>
        </w:rPr>
        <w:t xml:space="preserve">Furthermore, the </w:t>
      </w:r>
      <w:r w:rsidR="007D6479">
        <w:rPr>
          <w:rFonts w:asciiTheme="minorHAnsi" w:eastAsiaTheme="minorHAnsi" w:hAnsiTheme="minorHAnsi" w:cstheme="minorHAnsi"/>
          <w:sz w:val="22"/>
          <w:szCs w:val="22"/>
          <w:lang w:val="en-GB"/>
        </w:rPr>
        <w:t>contractor</w:t>
      </w:r>
      <w:r w:rsidR="007D6479" w:rsidRPr="00AB583C">
        <w:rPr>
          <w:rFonts w:asciiTheme="minorHAnsi" w:eastAsiaTheme="minorHAnsi" w:hAnsiTheme="minorHAnsi" w:cstheme="minorHAnsi"/>
          <w:sz w:val="22"/>
          <w:szCs w:val="22"/>
          <w:lang w:val="en-GB"/>
        </w:rPr>
        <w:t xml:space="preserve"> must be in a position to replace a trainer/consultant/coach in the event of sudden</w:t>
      </w:r>
      <w:r w:rsidR="007D6479" w:rsidRPr="00933994">
        <w:rPr>
          <w:rFonts w:asciiTheme="minorHAnsi" w:eastAsiaTheme="minorHAnsi" w:hAnsiTheme="minorHAnsi" w:cstheme="minorHAnsi"/>
          <w:sz w:val="22"/>
          <w:szCs w:val="22"/>
          <w:lang w:val="en-GB"/>
        </w:rPr>
        <w:t xml:space="preserve"> illness or similar</w:t>
      </w:r>
      <w:r w:rsidR="007D6479">
        <w:rPr>
          <w:rFonts w:asciiTheme="minorHAnsi" w:eastAsiaTheme="minorHAnsi" w:hAnsiTheme="minorHAnsi" w:cstheme="minorHAnsi"/>
          <w:sz w:val="22"/>
          <w:szCs w:val="22"/>
          <w:lang w:val="en-GB"/>
        </w:rPr>
        <w:t xml:space="preserve"> </w:t>
      </w:r>
      <w:r w:rsidR="007D6479" w:rsidRPr="00933994">
        <w:rPr>
          <w:rFonts w:asciiTheme="minorHAnsi" w:eastAsiaTheme="minorHAnsi" w:hAnsiTheme="minorHAnsi" w:cstheme="minorHAnsi"/>
          <w:sz w:val="22"/>
          <w:szCs w:val="22"/>
          <w:lang w:val="en-GB"/>
        </w:rPr>
        <w:t xml:space="preserve">unusual situations at short notice, with a qualified back-up </w:t>
      </w:r>
      <w:r w:rsidR="007D6479">
        <w:rPr>
          <w:rFonts w:asciiTheme="minorHAnsi" w:eastAsiaTheme="minorHAnsi" w:hAnsiTheme="minorHAnsi" w:cstheme="minorHAnsi"/>
          <w:sz w:val="22"/>
          <w:szCs w:val="22"/>
          <w:lang w:val="en-GB"/>
        </w:rPr>
        <w:t>person</w:t>
      </w:r>
      <w:r w:rsidR="007D6479" w:rsidRPr="00933994">
        <w:rPr>
          <w:rFonts w:asciiTheme="minorHAnsi" w:eastAsiaTheme="minorHAnsi" w:hAnsiTheme="minorHAnsi" w:cstheme="minorHAnsi"/>
          <w:sz w:val="22"/>
          <w:szCs w:val="22"/>
          <w:lang w:val="en-GB"/>
        </w:rPr>
        <w:t>.</w:t>
      </w:r>
    </w:p>
    <w:p w14:paraId="7191D3A8" w14:textId="651B4F04" w:rsidR="00D23CA4" w:rsidRPr="00933994" w:rsidRDefault="00D23CA4" w:rsidP="000A7F85">
      <w:pPr>
        <w:spacing w:after="120"/>
        <w:rPr>
          <w:rFonts w:asciiTheme="minorHAnsi" w:eastAsiaTheme="minorHAnsi" w:hAnsiTheme="minorHAnsi" w:cstheme="minorHAnsi"/>
          <w:sz w:val="22"/>
          <w:szCs w:val="22"/>
          <w:lang w:val="en-GB"/>
        </w:rPr>
      </w:pPr>
    </w:p>
    <w:p w14:paraId="618C2EB3" w14:textId="63B32F6E" w:rsidR="00917AD6" w:rsidRPr="00CB731B" w:rsidRDefault="00917AD6" w:rsidP="007723BB">
      <w:pPr>
        <w:spacing w:after="0"/>
        <w:rPr>
          <w:rFonts w:asciiTheme="minorHAnsi" w:hAnsiTheme="minorHAnsi" w:cs="Arial"/>
          <w:i/>
          <w:sz w:val="22"/>
          <w:szCs w:val="22"/>
          <w:lang w:val="en-GB"/>
        </w:rPr>
      </w:pPr>
      <w:r w:rsidRPr="00CB731B">
        <w:rPr>
          <w:rFonts w:asciiTheme="minorHAnsi" w:hAnsiTheme="minorHAnsi" w:cs="Arial"/>
          <w:i/>
          <w:sz w:val="22"/>
          <w:szCs w:val="22"/>
          <w:lang w:val="en-GB"/>
        </w:rPr>
        <w:t>6.</w:t>
      </w:r>
      <w:r w:rsidR="007D6479">
        <w:rPr>
          <w:rFonts w:asciiTheme="minorHAnsi" w:hAnsiTheme="minorHAnsi" w:cs="Arial"/>
          <w:i/>
          <w:sz w:val="22"/>
          <w:szCs w:val="22"/>
          <w:lang w:val="en-GB"/>
        </w:rPr>
        <w:t>4</w:t>
      </w:r>
      <w:r w:rsidRPr="00CB731B">
        <w:rPr>
          <w:rFonts w:asciiTheme="minorHAnsi" w:hAnsiTheme="minorHAnsi" w:cs="Arial"/>
          <w:i/>
          <w:sz w:val="22"/>
          <w:szCs w:val="22"/>
          <w:lang w:val="en-GB"/>
        </w:rPr>
        <w:tab/>
        <w:t xml:space="preserve">Working </w:t>
      </w:r>
      <w:r w:rsidR="000A7F85">
        <w:rPr>
          <w:rFonts w:asciiTheme="minorHAnsi" w:hAnsiTheme="minorHAnsi" w:cs="Arial"/>
          <w:i/>
          <w:sz w:val="22"/>
          <w:szCs w:val="22"/>
          <w:lang w:val="en-GB"/>
        </w:rPr>
        <w:t>time</w:t>
      </w:r>
    </w:p>
    <w:p w14:paraId="59E87ED1" w14:textId="77777777" w:rsidR="007723BB" w:rsidRPr="00CB731B" w:rsidRDefault="007723BB" w:rsidP="007723BB">
      <w:pPr>
        <w:spacing w:after="0"/>
        <w:rPr>
          <w:rFonts w:asciiTheme="minorHAnsi" w:hAnsiTheme="minorHAnsi" w:cs="Arial"/>
          <w:i/>
          <w:sz w:val="22"/>
          <w:szCs w:val="22"/>
          <w:lang w:val="en-GB"/>
        </w:rPr>
      </w:pPr>
    </w:p>
    <w:p w14:paraId="4755F716" w14:textId="77777777" w:rsidR="00917AD6" w:rsidRPr="00CB731B" w:rsidRDefault="00917AD6" w:rsidP="007723BB">
      <w:pPr>
        <w:spacing w:after="0"/>
        <w:rPr>
          <w:rFonts w:asciiTheme="minorHAnsi" w:hAnsiTheme="minorHAnsi" w:cs="Arial"/>
          <w:sz w:val="22"/>
          <w:szCs w:val="22"/>
          <w:lang w:val="en-GB"/>
        </w:rPr>
      </w:pPr>
      <w:r w:rsidRPr="00CB731B">
        <w:rPr>
          <w:rFonts w:asciiTheme="minorHAnsi" w:hAnsiTheme="minorHAnsi" w:cs="Arial"/>
          <w:sz w:val="22"/>
          <w:szCs w:val="22"/>
          <w:lang w:val="en-GB"/>
        </w:rPr>
        <w:t xml:space="preserve">The normal working week </w:t>
      </w:r>
      <w:r w:rsidR="00AB583C">
        <w:rPr>
          <w:rFonts w:asciiTheme="minorHAnsi" w:hAnsiTheme="minorHAnsi" w:cs="Arial"/>
          <w:sz w:val="22"/>
          <w:szCs w:val="22"/>
          <w:lang w:val="en-GB"/>
        </w:rPr>
        <w:t>at the EEA is of 40</w:t>
      </w:r>
      <w:r w:rsidR="007D6479">
        <w:rPr>
          <w:rFonts w:asciiTheme="minorHAnsi" w:hAnsiTheme="minorHAnsi" w:cs="Arial"/>
          <w:sz w:val="22"/>
          <w:szCs w:val="22"/>
          <w:lang w:val="en-GB"/>
        </w:rPr>
        <w:t xml:space="preserve"> (forty)</w:t>
      </w:r>
      <w:r w:rsidRPr="00CB731B">
        <w:rPr>
          <w:rFonts w:asciiTheme="minorHAnsi" w:hAnsiTheme="minorHAnsi" w:cs="Arial"/>
          <w:sz w:val="22"/>
          <w:szCs w:val="22"/>
          <w:lang w:val="en-GB"/>
        </w:rPr>
        <w:t xml:space="preserve"> hours net, </w:t>
      </w:r>
      <w:r w:rsidR="007D6479">
        <w:rPr>
          <w:rFonts w:asciiTheme="minorHAnsi" w:hAnsiTheme="minorHAnsi" w:cs="Arial"/>
          <w:sz w:val="22"/>
          <w:szCs w:val="22"/>
          <w:lang w:val="en-GB"/>
        </w:rPr>
        <w:t xml:space="preserve">from </w:t>
      </w:r>
      <w:r w:rsidRPr="00CB731B">
        <w:rPr>
          <w:rFonts w:asciiTheme="minorHAnsi" w:hAnsiTheme="minorHAnsi" w:cs="Arial"/>
          <w:sz w:val="22"/>
          <w:szCs w:val="22"/>
          <w:lang w:val="en-GB"/>
        </w:rPr>
        <w:t>Monday to Friday</w:t>
      </w:r>
      <w:r w:rsidR="00AB583C">
        <w:rPr>
          <w:rFonts w:asciiTheme="minorHAnsi" w:hAnsiTheme="minorHAnsi" w:cs="Arial"/>
          <w:sz w:val="22"/>
          <w:szCs w:val="22"/>
          <w:lang w:val="en-GB"/>
        </w:rPr>
        <w:t xml:space="preserve">. </w:t>
      </w:r>
      <w:r w:rsidR="00910FC4">
        <w:rPr>
          <w:rFonts w:asciiTheme="minorHAnsi" w:hAnsiTheme="minorHAnsi" w:cs="Arial"/>
          <w:sz w:val="22"/>
          <w:szCs w:val="22"/>
          <w:lang w:val="en-GB"/>
        </w:rPr>
        <w:t>L</w:t>
      </w:r>
      <w:r w:rsidR="00AB583C">
        <w:rPr>
          <w:rFonts w:asciiTheme="minorHAnsi" w:hAnsiTheme="minorHAnsi" w:cs="Arial"/>
          <w:sz w:val="22"/>
          <w:szCs w:val="22"/>
          <w:lang w:val="en-GB"/>
        </w:rPr>
        <w:t xml:space="preserve">earning and development activities </w:t>
      </w:r>
      <w:r w:rsidR="00910FC4" w:rsidRPr="00AB583C">
        <w:rPr>
          <w:rFonts w:asciiTheme="minorHAnsi" w:hAnsiTheme="minorHAnsi" w:cstheme="minorHAnsi"/>
          <w:sz w:val="22"/>
          <w:szCs w:val="22"/>
          <w:lang w:val="en-GB"/>
        </w:rPr>
        <w:t>at the EEA have normally the duration of approximately 6 working hours</w:t>
      </w:r>
      <w:r w:rsidR="00910FC4">
        <w:rPr>
          <w:rFonts w:asciiTheme="minorHAnsi" w:hAnsiTheme="minorHAnsi" w:cstheme="minorHAnsi"/>
          <w:sz w:val="22"/>
          <w:szCs w:val="22"/>
          <w:lang w:val="en-GB"/>
        </w:rPr>
        <w:t>,</w:t>
      </w:r>
      <w:r w:rsidR="00910FC4" w:rsidRPr="00AB583C">
        <w:rPr>
          <w:rFonts w:asciiTheme="minorHAnsi" w:hAnsiTheme="minorHAnsi" w:cstheme="minorHAnsi"/>
          <w:sz w:val="22"/>
          <w:szCs w:val="22"/>
          <w:lang w:val="en-GB"/>
        </w:rPr>
        <w:t xml:space="preserve"> not including breaks.</w:t>
      </w:r>
    </w:p>
    <w:p w14:paraId="47F4D4B1" w14:textId="77777777" w:rsidR="007723BB" w:rsidRPr="00CB731B" w:rsidRDefault="007723BB" w:rsidP="007723BB">
      <w:pPr>
        <w:spacing w:after="0"/>
        <w:rPr>
          <w:rFonts w:asciiTheme="minorHAnsi" w:hAnsiTheme="minorHAnsi" w:cs="Arial"/>
          <w:sz w:val="22"/>
          <w:szCs w:val="22"/>
          <w:lang w:val="en-GB"/>
        </w:rPr>
      </w:pPr>
    </w:p>
    <w:p w14:paraId="16907201" w14:textId="6C2F8D23" w:rsidR="00AB583C" w:rsidRDefault="000A7F85" w:rsidP="000A7F85">
      <w:pPr>
        <w:pStyle w:val="ListBullet1"/>
        <w:numPr>
          <w:ilvl w:val="0"/>
          <w:numId w:val="0"/>
        </w:numPr>
        <w:tabs>
          <w:tab w:val="left" w:pos="709"/>
        </w:tabs>
        <w:spacing w:before="120" w:after="60"/>
        <w:rPr>
          <w:rFonts w:asciiTheme="minorHAnsi" w:hAnsiTheme="minorHAnsi" w:cs="Arial"/>
          <w:sz w:val="22"/>
          <w:szCs w:val="22"/>
          <w:lang w:val="en-GB"/>
        </w:rPr>
      </w:pPr>
      <w:r w:rsidRPr="00AB583C">
        <w:rPr>
          <w:rFonts w:asciiTheme="minorHAnsi" w:hAnsiTheme="minorHAnsi" w:cstheme="minorHAnsi"/>
          <w:sz w:val="22"/>
          <w:szCs w:val="22"/>
          <w:lang w:val="en-GB"/>
        </w:rPr>
        <w:t xml:space="preserve">The </w:t>
      </w:r>
      <w:r w:rsidR="007D6479">
        <w:rPr>
          <w:rFonts w:asciiTheme="minorHAnsi" w:hAnsiTheme="minorHAnsi" w:cstheme="minorHAnsi"/>
          <w:sz w:val="22"/>
          <w:szCs w:val="22"/>
          <w:lang w:val="en-GB"/>
        </w:rPr>
        <w:t>contractor</w:t>
      </w:r>
      <w:r w:rsidRPr="00AB583C">
        <w:rPr>
          <w:rFonts w:asciiTheme="minorHAnsi" w:hAnsiTheme="minorHAnsi" w:cstheme="minorHAnsi"/>
          <w:sz w:val="22"/>
          <w:szCs w:val="22"/>
          <w:lang w:val="en-GB"/>
        </w:rPr>
        <w:t xml:space="preserve"> has to be available to provide </w:t>
      </w:r>
      <w:r>
        <w:rPr>
          <w:rFonts w:asciiTheme="minorHAnsi" w:hAnsiTheme="minorHAnsi" w:cstheme="minorHAnsi"/>
          <w:sz w:val="22"/>
          <w:szCs w:val="22"/>
          <w:lang w:val="en-GB"/>
        </w:rPr>
        <w:t xml:space="preserve">services </w:t>
      </w:r>
      <w:r w:rsidRPr="00AB583C">
        <w:rPr>
          <w:rFonts w:asciiTheme="minorHAnsi" w:hAnsiTheme="minorHAnsi" w:cstheme="minorHAnsi"/>
          <w:sz w:val="22"/>
          <w:szCs w:val="22"/>
          <w:lang w:val="en-GB"/>
        </w:rPr>
        <w:t xml:space="preserve">on all EEA working days, which may </w:t>
      </w:r>
      <w:r w:rsidR="00AB583C" w:rsidRPr="00AB583C">
        <w:rPr>
          <w:rFonts w:asciiTheme="minorHAnsi" w:hAnsiTheme="minorHAnsi" w:cstheme="minorHAnsi"/>
          <w:sz w:val="22"/>
          <w:szCs w:val="22"/>
          <w:lang w:val="en-GB"/>
        </w:rPr>
        <w:t>differ from the Danish bank holidays calendar.</w:t>
      </w:r>
      <w:r>
        <w:rPr>
          <w:rFonts w:asciiTheme="minorHAnsi" w:hAnsiTheme="minorHAnsi" w:cstheme="minorHAnsi"/>
          <w:sz w:val="22"/>
          <w:szCs w:val="22"/>
          <w:lang w:val="en-GB"/>
        </w:rPr>
        <w:t xml:space="preserve"> </w:t>
      </w:r>
      <w:r w:rsidR="00AB583C" w:rsidRPr="00CB731B">
        <w:rPr>
          <w:rFonts w:asciiTheme="minorHAnsi" w:hAnsiTheme="minorHAnsi" w:cs="Arial"/>
          <w:sz w:val="22"/>
          <w:szCs w:val="22"/>
          <w:lang w:val="en-GB"/>
        </w:rPr>
        <w:t>These days may vary from year to year. The updated list of EEA public holidays will be sent to the contractor every year.</w:t>
      </w:r>
    </w:p>
    <w:p w14:paraId="76A684EA" w14:textId="77777777" w:rsidR="00B75D76" w:rsidRPr="00AB583C" w:rsidRDefault="00B75D76" w:rsidP="000A7F85">
      <w:pPr>
        <w:pStyle w:val="ListBullet1"/>
        <w:numPr>
          <w:ilvl w:val="0"/>
          <w:numId w:val="0"/>
        </w:numPr>
        <w:tabs>
          <w:tab w:val="left" w:pos="709"/>
        </w:tabs>
        <w:spacing w:before="120" w:after="60"/>
        <w:rPr>
          <w:rFonts w:asciiTheme="minorHAnsi" w:hAnsiTheme="minorHAnsi" w:cstheme="minorHAnsi"/>
          <w:sz w:val="22"/>
          <w:szCs w:val="22"/>
          <w:lang w:val="en-GB"/>
        </w:rPr>
      </w:pPr>
    </w:p>
    <w:p w14:paraId="653C2F5A" w14:textId="7746736B" w:rsidR="007723BB" w:rsidRPr="00CB731B" w:rsidRDefault="007723BB" w:rsidP="007723BB">
      <w:pPr>
        <w:spacing w:after="0"/>
        <w:rPr>
          <w:rFonts w:asciiTheme="minorHAnsi" w:hAnsiTheme="minorHAnsi" w:cs="Arial"/>
          <w:i/>
          <w:sz w:val="22"/>
          <w:szCs w:val="22"/>
          <w:lang w:val="en-GB"/>
        </w:rPr>
      </w:pPr>
      <w:r w:rsidRPr="00CB731B">
        <w:rPr>
          <w:rFonts w:asciiTheme="minorHAnsi" w:hAnsiTheme="minorHAnsi" w:cs="Arial"/>
          <w:i/>
          <w:sz w:val="22"/>
          <w:szCs w:val="22"/>
          <w:lang w:val="en-GB"/>
        </w:rPr>
        <w:t>6.</w:t>
      </w:r>
      <w:r w:rsidR="007D6479">
        <w:rPr>
          <w:rFonts w:asciiTheme="minorHAnsi" w:hAnsiTheme="minorHAnsi" w:cs="Arial"/>
          <w:i/>
          <w:sz w:val="22"/>
          <w:szCs w:val="22"/>
          <w:lang w:val="en-GB"/>
        </w:rPr>
        <w:t>5</w:t>
      </w:r>
      <w:r w:rsidRPr="00CB731B">
        <w:rPr>
          <w:rFonts w:asciiTheme="minorHAnsi" w:hAnsiTheme="minorHAnsi" w:cs="Arial"/>
          <w:i/>
          <w:sz w:val="22"/>
          <w:szCs w:val="22"/>
          <w:lang w:val="en-GB"/>
        </w:rPr>
        <w:tab/>
      </w:r>
      <w:r w:rsidR="00AB583C">
        <w:rPr>
          <w:rFonts w:asciiTheme="minorHAnsi" w:hAnsiTheme="minorHAnsi" w:cs="Arial"/>
          <w:i/>
          <w:sz w:val="22"/>
          <w:szCs w:val="22"/>
          <w:lang w:val="en-GB"/>
        </w:rPr>
        <w:t>Geographic area to be covered and place of performance</w:t>
      </w:r>
    </w:p>
    <w:p w14:paraId="50F17406" w14:textId="77777777" w:rsidR="007723BB" w:rsidRPr="00AB583C" w:rsidRDefault="007723BB" w:rsidP="007723BB">
      <w:pPr>
        <w:spacing w:after="0"/>
        <w:rPr>
          <w:rFonts w:asciiTheme="minorHAnsi" w:hAnsiTheme="minorHAnsi" w:cstheme="minorHAnsi"/>
          <w:sz w:val="22"/>
          <w:szCs w:val="22"/>
          <w:lang w:val="en-GB"/>
        </w:rPr>
      </w:pPr>
    </w:p>
    <w:p w14:paraId="59FCEC56" w14:textId="485906C0" w:rsidR="00AB583C" w:rsidRDefault="00AB583C" w:rsidP="00AB583C">
      <w:pPr>
        <w:autoSpaceDE w:val="0"/>
        <w:autoSpaceDN w:val="0"/>
        <w:adjustRightInd w:val="0"/>
        <w:spacing w:after="0"/>
        <w:jc w:val="left"/>
        <w:rPr>
          <w:rFonts w:asciiTheme="minorHAnsi" w:eastAsiaTheme="minorHAnsi" w:hAnsiTheme="minorHAnsi" w:cstheme="minorHAnsi"/>
          <w:sz w:val="22"/>
          <w:szCs w:val="22"/>
          <w:lang w:val="en-GB"/>
        </w:rPr>
      </w:pPr>
      <w:r w:rsidRPr="00AB583C">
        <w:rPr>
          <w:rFonts w:asciiTheme="minorHAnsi" w:eastAsiaTheme="minorHAnsi" w:hAnsiTheme="minorHAnsi" w:cstheme="minorHAnsi"/>
          <w:sz w:val="22"/>
          <w:szCs w:val="22"/>
          <w:lang w:val="en-GB"/>
        </w:rPr>
        <w:t>In general services are to be conducted at the EEA premises</w:t>
      </w:r>
      <w:r>
        <w:rPr>
          <w:rFonts w:asciiTheme="minorHAnsi" w:eastAsiaTheme="minorHAnsi" w:hAnsiTheme="minorHAnsi" w:cstheme="minorHAnsi"/>
          <w:sz w:val="22"/>
          <w:szCs w:val="22"/>
          <w:lang w:val="en-GB"/>
        </w:rPr>
        <w:t xml:space="preserve"> </w:t>
      </w:r>
      <w:r w:rsidR="007D6479">
        <w:rPr>
          <w:rFonts w:asciiTheme="minorHAnsi" w:eastAsiaTheme="minorHAnsi" w:hAnsiTheme="minorHAnsi" w:cstheme="minorHAnsi"/>
          <w:sz w:val="22"/>
          <w:szCs w:val="22"/>
          <w:lang w:val="en-GB"/>
        </w:rPr>
        <w:t>located at</w:t>
      </w:r>
      <w:r w:rsidR="007D6479" w:rsidRPr="00AB583C">
        <w:rPr>
          <w:rFonts w:asciiTheme="minorHAnsi" w:eastAsiaTheme="minorHAnsi" w:hAnsiTheme="minorHAnsi" w:cstheme="minorHAnsi"/>
          <w:sz w:val="22"/>
          <w:szCs w:val="22"/>
          <w:lang w:val="en-GB"/>
        </w:rPr>
        <w:t xml:space="preserve"> </w:t>
      </w:r>
      <w:proofErr w:type="spellStart"/>
      <w:r w:rsidRPr="00AB583C">
        <w:rPr>
          <w:rFonts w:asciiTheme="minorHAnsi" w:eastAsiaTheme="minorHAnsi" w:hAnsiTheme="minorHAnsi" w:cstheme="minorHAnsi"/>
          <w:sz w:val="22"/>
          <w:szCs w:val="22"/>
          <w:lang w:val="en-GB"/>
        </w:rPr>
        <w:t>Kongens</w:t>
      </w:r>
      <w:proofErr w:type="spellEnd"/>
      <w:r w:rsidRPr="00AB583C">
        <w:rPr>
          <w:rFonts w:asciiTheme="minorHAnsi" w:eastAsiaTheme="minorHAnsi" w:hAnsiTheme="minorHAnsi" w:cstheme="minorHAnsi"/>
          <w:sz w:val="22"/>
          <w:szCs w:val="22"/>
          <w:lang w:val="en-GB"/>
        </w:rPr>
        <w:t xml:space="preserve"> </w:t>
      </w:r>
      <w:proofErr w:type="spellStart"/>
      <w:r w:rsidRPr="00AB583C">
        <w:rPr>
          <w:rFonts w:asciiTheme="minorHAnsi" w:eastAsiaTheme="minorHAnsi" w:hAnsiTheme="minorHAnsi" w:cstheme="minorHAnsi"/>
          <w:sz w:val="22"/>
          <w:szCs w:val="22"/>
          <w:lang w:val="en-GB"/>
        </w:rPr>
        <w:t>Nytorv</w:t>
      </w:r>
      <w:proofErr w:type="spellEnd"/>
      <w:r w:rsidRPr="00AB583C">
        <w:rPr>
          <w:rFonts w:asciiTheme="minorHAnsi" w:eastAsiaTheme="minorHAnsi" w:hAnsiTheme="minorHAnsi" w:cstheme="minorHAnsi"/>
          <w:sz w:val="22"/>
          <w:szCs w:val="22"/>
          <w:lang w:val="en-GB"/>
        </w:rPr>
        <w:t xml:space="preserve"> 6 or 8, 1050 Copenhagen K, </w:t>
      </w:r>
      <w:proofErr w:type="gramStart"/>
      <w:r w:rsidRPr="00AB583C">
        <w:rPr>
          <w:rFonts w:asciiTheme="minorHAnsi" w:eastAsiaTheme="minorHAnsi" w:hAnsiTheme="minorHAnsi" w:cstheme="minorHAnsi"/>
          <w:sz w:val="22"/>
          <w:szCs w:val="22"/>
          <w:lang w:val="en-GB"/>
        </w:rPr>
        <w:t>Denmark</w:t>
      </w:r>
      <w:proofErr w:type="gramEnd"/>
      <w:r w:rsidRPr="00AB583C">
        <w:rPr>
          <w:rFonts w:asciiTheme="minorHAnsi" w:eastAsiaTheme="minorHAnsi" w:hAnsiTheme="minorHAnsi" w:cstheme="minorHAnsi"/>
          <w:sz w:val="22"/>
          <w:szCs w:val="22"/>
          <w:lang w:val="en-GB"/>
        </w:rPr>
        <w:t xml:space="preserve"> or in its near proximities.</w:t>
      </w:r>
    </w:p>
    <w:p w14:paraId="57037722" w14:textId="77777777" w:rsidR="00AB583C" w:rsidRPr="00AB583C" w:rsidRDefault="00AB583C" w:rsidP="00AB583C">
      <w:pPr>
        <w:autoSpaceDE w:val="0"/>
        <w:autoSpaceDN w:val="0"/>
        <w:adjustRightInd w:val="0"/>
        <w:spacing w:after="0"/>
        <w:jc w:val="left"/>
        <w:rPr>
          <w:rFonts w:asciiTheme="minorHAnsi" w:eastAsiaTheme="minorHAnsi" w:hAnsiTheme="minorHAnsi" w:cstheme="minorHAnsi"/>
          <w:sz w:val="22"/>
          <w:szCs w:val="22"/>
          <w:lang w:val="en-GB"/>
        </w:rPr>
      </w:pPr>
    </w:p>
    <w:p w14:paraId="3AFE2FAA" w14:textId="77777777" w:rsidR="00AB583C" w:rsidRDefault="00AB583C" w:rsidP="00AB583C">
      <w:pPr>
        <w:autoSpaceDE w:val="0"/>
        <w:autoSpaceDN w:val="0"/>
        <w:adjustRightInd w:val="0"/>
        <w:spacing w:after="0"/>
        <w:jc w:val="left"/>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 xml:space="preserve">If activities are </w:t>
      </w:r>
      <w:r w:rsidRPr="00AB583C">
        <w:rPr>
          <w:rFonts w:asciiTheme="minorHAnsi" w:eastAsiaTheme="minorHAnsi" w:hAnsiTheme="minorHAnsi" w:cstheme="minorHAnsi"/>
          <w:sz w:val="22"/>
          <w:szCs w:val="22"/>
          <w:lang w:val="en-GB"/>
        </w:rPr>
        <w:t xml:space="preserve">organised outside the EEA, </w:t>
      </w:r>
      <w:r>
        <w:rPr>
          <w:rFonts w:asciiTheme="minorHAnsi" w:eastAsiaTheme="minorHAnsi" w:hAnsiTheme="minorHAnsi" w:cstheme="minorHAnsi"/>
          <w:sz w:val="22"/>
          <w:szCs w:val="22"/>
          <w:lang w:val="en-GB"/>
        </w:rPr>
        <w:t xml:space="preserve">they </w:t>
      </w:r>
      <w:r w:rsidRPr="00AB583C">
        <w:rPr>
          <w:rFonts w:asciiTheme="minorHAnsi" w:eastAsiaTheme="minorHAnsi" w:hAnsiTheme="minorHAnsi" w:cstheme="minorHAnsi"/>
          <w:sz w:val="22"/>
          <w:szCs w:val="22"/>
          <w:lang w:val="en-GB"/>
        </w:rPr>
        <w:t>are to take place in Denmark, normally</w:t>
      </w:r>
      <w:r>
        <w:rPr>
          <w:rFonts w:asciiTheme="minorHAnsi" w:eastAsiaTheme="minorHAnsi" w:hAnsiTheme="minorHAnsi" w:cstheme="minorHAnsi"/>
          <w:sz w:val="22"/>
          <w:szCs w:val="22"/>
          <w:lang w:val="en-GB"/>
        </w:rPr>
        <w:t xml:space="preserve"> </w:t>
      </w:r>
      <w:r w:rsidRPr="00AB583C">
        <w:rPr>
          <w:rFonts w:asciiTheme="minorHAnsi" w:eastAsiaTheme="minorHAnsi" w:hAnsiTheme="minorHAnsi" w:cstheme="minorHAnsi"/>
          <w:sz w:val="22"/>
          <w:szCs w:val="22"/>
          <w:lang w:val="en-GB"/>
        </w:rPr>
        <w:t>around the "Great Copenhagen" area.</w:t>
      </w:r>
    </w:p>
    <w:p w14:paraId="44775E34" w14:textId="77777777" w:rsidR="00AB583C" w:rsidRPr="00AB583C" w:rsidRDefault="00AB583C" w:rsidP="00AB583C">
      <w:pPr>
        <w:autoSpaceDE w:val="0"/>
        <w:autoSpaceDN w:val="0"/>
        <w:adjustRightInd w:val="0"/>
        <w:spacing w:after="0"/>
        <w:jc w:val="left"/>
        <w:rPr>
          <w:rFonts w:asciiTheme="minorHAnsi" w:eastAsiaTheme="minorHAnsi" w:hAnsiTheme="minorHAnsi" w:cstheme="minorHAnsi"/>
          <w:sz w:val="22"/>
          <w:szCs w:val="22"/>
          <w:lang w:val="en-GB"/>
        </w:rPr>
      </w:pPr>
    </w:p>
    <w:p w14:paraId="3265DBBD" w14:textId="77777777" w:rsidR="00AB583C" w:rsidRPr="00AB583C" w:rsidRDefault="00AB583C" w:rsidP="00AB583C">
      <w:pPr>
        <w:autoSpaceDE w:val="0"/>
        <w:autoSpaceDN w:val="0"/>
        <w:adjustRightInd w:val="0"/>
        <w:spacing w:after="0"/>
        <w:jc w:val="left"/>
        <w:rPr>
          <w:rFonts w:asciiTheme="minorHAnsi" w:eastAsiaTheme="minorHAnsi" w:hAnsiTheme="minorHAnsi" w:cstheme="minorHAnsi"/>
          <w:sz w:val="22"/>
          <w:szCs w:val="22"/>
          <w:lang w:val="en-GB"/>
        </w:rPr>
      </w:pPr>
      <w:r w:rsidRPr="00AB583C">
        <w:rPr>
          <w:rFonts w:asciiTheme="minorHAnsi" w:eastAsiaTheme="minorHAnsi" w:hAnsiTheme="minorHAnsi" w:cstheme="minorHAnsi"/>
          <w:sz w:val="22"/>
          <w:szCs w:val="22"/>
          <w:lang w:val="en-GB"/>
        </w:rPr>
        <w:t>Under exceptional circumstances when a training activity takes place outside the "Great</w:t>
      </w:r>
    </w:p>
    <w:p w14:paraId="08ABBC41" w14:textId="77777777" w:rsidR="00AB583C" w:rsidRDefault="00AB583C" w:rsidP="00AB583C">
      <w:pPr>
        <w:autoSpaceDE w:val="0"/>
        <w:autoSpaceDN w:val="0"/>
        <w:adjustRightInd w:val="0"/>
        <w:spacing w:after="0"/>
        <w:jc w:val="left"/>
        <w:rPr>
          <w:rFonts w:asciiTheme="minorHAnsi" w:eastAsiaTheme="minorHAnsi" w:hAnsiTheme="minorHAnsi" w:cstheme="minorHAnsi"/>
          <w:sz w:val="22"/>
          <w:szCs w:val="22"/>
          <w:lang w:val="en-GB"/>
        </w:rPr>
      </w:pPr>
      <w:r w:rsidRPr="00AB583C">
        <w:rPr>
          <w:rFonts w:asciiTheme="minorHAnsi" w:eastAsiaTheme="minorHAnsi" w:hAnsiTheme="minorHAnsi" w:cstheme="minorHAnsi"/>
          <w:sz w:val="22"/>
          <w:szCs w:val="22"/>
          <w:lang w:val="en-GB"/>
        </w:rPr>
        <w:t>Copenhagen" area and over 50Kms from the contractor premises, travel and</w:t>
      </w:r>
      <w:r>
        <w:rPr>
          <w:rFonts w:asciiTheme="minorHAnsi" w:eastAsiaTheme="minorHAnsi" w:hAnsiTheme="minorHAnsi" w:cstheme="minorHAnsi"/>
          <w:sz w:val="22"/>
          <w:szCs w:val="22"/>
          <w:lang w:val="en-GB"/>
        </w:rPr>
        <w:t xml:space="preserve"> </w:t>
      </w:r>
      <w:r w:rsidRPr="00AB583C">
        <w:rPr>
          <w:rFonts w:asciiTheme="minorHAnsi" w:eastAsiaTheme="minorHAnsi" w:hAnsiTheme="minorHAnsi" w:cstheme="minorHAnsi"/>
          <w:sz w:val="22"/>
          <w:szCs w:val="22"/>
          <w:lang w:val="en-GB"/>
        </w:rPr>
        <w:t>subsistence costs will be reimbursed according to EEA's standard rules and rates, as per Annex</w:t>
      </w:r>
      <w:r>
        <w:rPr>
          <w:rFonts w:asciiTheme="minorHAnsi" w:eastAsiaTheme="minorHAnsi" w:hAnsiTheme="minorHAnsi" w:cstheme="minorHAnsi"/>
          <w:sz w:val="22"/>
          <w:szCs w:val="22"/>
          <w:lang w:val="en-GB"/>
        </w:rPr>
        <w:t xml:space="preserve"> </w:t>
      </w:r>
      <w:r w:rsidRPr="00AB583C">
        <w:rPr>
          <w:rFonts w:asciiTheme="minorHAnsi" w:eastAsiaTheme="minorHAnsi" w:hAnsiTheme="minorHAnsi" w:cstheme="minorHAnsi"/>
          <w:sz w:val="22"/>
          <w:szCs w:val="22"/>
          <w:lang w:val="en-GB"/>
        </w:rPr>
        <w:t>7 attached (Travel and subsistence reimbursement rules).</w:t>
      </w:r>
    </w:p>
    <w:p w14:paraId="3F61ADE1" w14:textId="77777777" w:rsidR="007723BB" w:rsidRDefault="007723BB" w:rsidP="007723BB">
      <w:pPr>
        <w:spacing w:after="0"/>
        <w:rPr>
          <w:rFonts w:asciiTheme="minorHAnsi" w:hAnsiTheme="minorHAnsi" w:cs="Arial"/>
          <w:sz w:val="22"/>
          <w:szCs w:val="22"/>
          <w:lang w:val="en-GB"/>
        </w:rPr>
      </w:pPr>
    </w:p>
    <w:p w14:paraId="21586748" w14:textId="39DC0282" w:rsidR="007723BB" w:rsidRPr="00CB731B" w:rsidRDefault="007723BB" w:rsidP="007723BB">
      <w:pPr>
        <w:spacing w:after="0"/>
        <w:rPr>
          <w:rFonts w:asciiTheme="minorHAnsi" w:hAnsiTheme="minorHAnsi" w:cs="Arial"/>
          <w:i/>
          <w:sz w:val="22"/>
          <w:szCs w:val="22"/>
          <w:lang w:val="en-GB"/>
        </w:rPr>
      </w:pPr>
      <w:r w:rsidRPr="00CB731B">
        <w:rPr>
          <w:rFonts w:asciiTheme="minorHAnsi" w:hAnsiTheme="minorHAnsi" w:cs="Arial"/>
          <w:i/>
          <w:sz w:val="22"/>
          <w:szCs w:val="22"/>
          <w:lang w:val="en-GB"/>
        </w:rPr>
        <w:t>6.</w:t>
      </w:r>
      <w:r w:rsidR="007D6479">
        <w:rPr>
          <w:rFonts w:asciiTheme="minorHAnsi" w:hAnsiTheme="minorHAnsi" w:cs="Arial"/>
          <w:i/>
          <w:sz w:val="22"/>
          <w:szCs w:val="22"/>
          <w:lang w:val="en-GB"/>
        </w:rPr>
        <w:t>6</w:t>
      </w:r>
      <w:r w:rsidRPr="00CB731B">
        <w:rPr>
          <w:rFonts w:asciiTheme="minorHAnsi" w:hAnsiTheme="minorHAnsi" w:cs="Arial"/>
          <w:i/>
          <w:sz w:val="22"/>
          <w:szCs w:val="22"/>
          <w:lang w:val="en-GB"/>
        </w:rPr>
        <w:tab/>
        <w:t>Confidentiality</w:t>
      </w:r>
    </w:p>
    <w:p w14:paraId="577F0720" w14:textId="77777777" w:rsidR="007723BB" w:rsidRPr="00CB731B" w:rsidRDefault="007723BB" w:rsidP="007723BB">
      <w:pPr>
        <w:spacing w:after="0"/>
        <w:rPr>
          <w:rFonts w:asciiTheme="minorHAnsi" w:hAnsiTheme="minorHAnsi" w:cs="Arial"/>
          <w:sz w:val="22"/>
          <w:szCs w:val="22"/>
          <w:lang w:val="en-GB"/>
        </w:rPr>
      </w:pPr>
    </w:p>
    <w:p w14:paraId="3F414BE3" w14:textId="28FC109F" w:rsidR="007723BB" w:rsidRPr="00CB731B" w:rsidRDefault="000A7F85" w:rsidP="007723BB">
      <w:pPr>
        <w:spacing w:after="0"/>
        <w:rPr>
          <w:rFonts w:asciiTheme="minorHAnsi" w:hAnsiTheme="minorHAnsi" w:cs="Arial"/>
          <w:sz w:val="22"/>
          <w:szCs w:val="22"/>
          <w:lang w:val="en-GB"/>
        </w:rPr>
      </w:pPr>
      <w:r>
        <w:rPr>
          <w:rFonts w:asciiTheme="minorHAnsi" w:hAnsiTheme="minorHAnsi" w:cs="Arial"/>
          <w:sz w:val="22"/>
          <w:szCs w:val="22"/>
          <w:lang w:val="en-GB"/>
        </w:rPr>
        <w:t xml:space="preserve">All consultants assigned by the contractor to work with the </w:t>
      </w:r>
      <w:r w:rsidR="007723BB" w:rsidRPr="00CB731B">
        <w:rPr>
          <w:rFonts w:asciiTheme="minorHAnsi" w:hAnsiTheme="minorHAnsi" w:cs="Arial"/>
          <w:sz w:val="22"/>
          <w:szCs w:val="22"/>
          <w:lang w:val="en-GB"/>
        </w:rPr>
        <w:t xml:space="preserve">EEA </w:t>
      </w:r>
      <w:r>
        <w:rPr>
          <w:rFonts w:asciiTheme="minorHAnsi" w:hAnsiTheme="minorHAnsi" w:cs="Arial"/>
          <w:sz w:val="22"/>
          <w:szCs w:val="22"/>
          <w:lang w:val="en-GB"/>
        </w:rPr>
        <w:t>for the services agreed through this framework contract</w:t>
      </w:r>
      <w:r w:rsidR="007723BB" w:rsidRPr="00CB731B">
        <w:rPr>
          <w:rFonts w:asciiTheme="minorHAnsi" w:hAnsiTheme="minorHAnsi" w:cs="Arial"/>
          <w:sz w:val="22"/>
          <w:szCs w:val="22"/>
          <w:lang w:val="en-GB"/>
        </w:rPr>
        <w:t xml:space="preserve"> shall undertake not to make use of and not to divulge to third parties any facts, information, knowledge, documents or other matters communicated to them or brought to their attention during the </w:t>
      </w:r>
      <w:r w:rsidR="007D6479">
        <w:rPr>
          <w:rFonts w:asciiTheme="minorHAnsi" w:hAnsiTheme="minorHAnsi" w:cs="Arial"/>
          <w:sz w:val="22"/>
          <w:szCs w:val="22"/>
          <w:lang w:val="en-GB"/>
        </w:rPr>
        <w:t>provision of the service</w:t>
      </w:r>
      <w:r w:rsidR="007723BB" w:rsidRPr="00CB731B">
        <w:rPr>
          <w:rFonts w:asciiTheme="minorHAnsi" w:hAnsiTheme="minorHAnsi" w:cs="Arial"/>
          <w:sz w:val="22"/>
          <w:szCs w:val="22"/>
          <w:lang w:val="en-GB"/>
        </w:rPr>
        <w:t xml:space="preserve"> at the EEA or any matter arising thereof. They </w:t>
      </w:r>
      <w:r>
        <w:rPr>
          <w:rFonts w:asciiTheme="minorHAnsi" w:hAnsiTheme="minorHAnsi" w:cs="Arial"/>
          <w:sz w:val="22"/>
          <w:szCs w:val="22"/>
          <w:lang w:val="en-GB"/>
        </w:rPr>
        <w:lastRenderedPageBreak/>
        <w:t xml:space="preserve">may </w:t>
      </w:r>
      <w:r w:rsidR="007723BB" w:rsidRPr="00CB731B">
        <w:rPr>
          <w:rFonts w:asciiTheme="minorHAnsi" w:hAnsiTheme="minorHAnsi" w:cs="Arial"/>
          <w:sz w:val="22"/>
          <w:szCs w:val="22"/>
          <w:lang w:val="en-GB"/>
        </w:rPr>
        <w:t xml:space="preserve">be requested to sign a confidentiality clause and shall continue to be bound by this undertaking after the expiry of their </w:t>
      </w:r>
      <w:r>
        <w:rPr>
          <w:rFonts w:asciiTheme="minorHAnsi" w:hAnsiTheme="minorHAnsi" w:cs="Arial"/>
          <w:sz w:val="22"/>
          <w:szCs w:val="22"/>
          <w:lang w:val="en-GB"/>
        </w:rPr>
        <w:t>assignment</w:t>
      </w:r>
      <w:r w:rsidR="007723BB" w:rsidRPr="00CB731B">
        <w:rPr>
          <w:rFonts w:asciiTheme="minorHAnsi" w:hAnsiTheme="minorHAnsi" w:cs="Arial"/>
          <w:sz w:val="22"/>
          <w:szCs w:val="22"/>
          <w:lang w:val="en-GB"/>
        </w:rPr>
        <w:t xml:space="preserve"> period at the EEA.</w:t>
      </w:r>
    </w:p>
    <w:p w14:paraId="47092792" w14:textId="77777777" w:rsidR="007723BB" w:rsidRPr="00CB731B" w:rsidRDefault="007723BB" w:rsidP="007723BB">
      <w:pPr>
        <w:spacing w:after="0"/>
        <w:rPr>
          <w:rFonts w:asciiTheme="minorHAnsi" w:hAnsiTheme="minorHAnsi" w:cs="Arial"/>
          <w:sz w:val="22"/>
          <w:szCs w:val="22"/>
          <w:lang w:val="en-GB"/>
        </w:rPr>
      </w:pPr>
    </w:p>
    <w:p w14:paraId="3D7FD023" w14:textId="77777777" w:rsidR="005F1495" w:rsidRPr="00915094" w:rsidRDefault="005F1495" w:rsidP="00C939ED">
      <w:pPr>
        <w:spacing w:after="0"/>
        <w:rPr>
          <w:rFonts w:asciiTheme="minorHAnsi" w:hAnsiTheme="minorHAnsi" w:cs="Arial"/>
          <w:b/>
          <w:sz w:val="22"/>
          <w:szCs w:val="22"/>
          <w:lang w:val="en-GB"/>
        </w:rPr>
      </w:pPr>
      <w:r w:rsidRPr="00915094">
        <w:rPr>
          <w:rFonts w:asciiTheme="minorHAnsi" w:hAnsiTheme="minorHAnsi" w:cs="Arial"/>
          <w:b/>
          <w:sz w:val="22"/>
          <w:szCs w:val="22"/>
          <w:lang w:val="en-GB"/>
        </w:rPr>
        <w:t>7.</w:t>
      </w:r>
      <w:r w:rsidRPr="00CB731B">
        <w:rPr>
          <w:rFonts w:asciiTheme="minorHAnsi" w:hAnsiTheme="minorHAnsi" w:cs="Arial"/>
          <w:b/>
          <w:color w:val="FF0000"/>
          <w:sz w:val="22"/>
          <w:szCs w:val="22"/>
          <w:lang w:val="en-GB"/>
        </w:rPr>
        <w:tab/>
      </w:r>
      <w:r w:rsidRPr="00915094">
        <w:rPr>
          <w:rFonts w:asciiTheme="minorHAnsi" w:hAnsiTheme="minorHAnsi" w:cs="Arial"/>
          <w:b/>
          <w:sz w:val="22"/>
          <w:szCs w:val="22"/>
          <w:lang w:val="en-GB"/>
        </w:rPr>
        <w:t>Type and volume of contract</w:t>
      </w:r>
    </w:p>
    <w:p w14:paraId="6B60A9E6" w14:textId="77777777" w:rsidR="00C939ED" w:rsidRPr="00CB731B" w:rsidRDefault="00C939ED" w:rsidP="00C939ED">
      <w:pPr>
        <w:spacing w:after="0"/>
        <w:rPr>
          <w:rFonts w:asciiTheme="minorHAnsi" w:hAnsiTheme="minorHAnsi" w:cs="Arial"/>
          <w:b/>
          <w:sz w:val="22"/>
          <w:szCs w:val="22"/>
          <w:lang w:val="en-GB"/>
        </w:rPr>
      </w:pPr>
    </w:p>
    <w:p w14:paraId="7662DEED" w14:textId="55794C0A" w:rsidR="005F1495" w:rsidRDefault="005F1495" w:rsidP="005F1495">
      <w:pPr>
        <w:pStyle w:val="Body"/>
        <w:spacing w:after="0"/>
        <w:jc w:val="both"/>
        <w:rPr>
          <w:rFonts w:asciiTheme="minorHAnsi" w:hAnsiTheme="minorHAnsi" w:cs="Arial"/>
          <w:sz w:val="22"/>
          <w:szCs w:val="22"/>
        </w:rPr>
      </w:pPr>
      <w:r w:rsidRPr="00CB731B">
        <w:rPr>
          <w:rFonts w:asciiTheme="minorHAnsi" w:hAnsiTheme="minorHAnsi" w:cs="Arial"/>
          <w:sz w:val="22"/>
          <w:szCs w:val="22"/>
        </w:rPr>
        <w:t xml:space="preserve">The successful tenderer will be awarded a framework </w:t>
      </w:r>
      <w:r w:rsidR="005B063D">
        <w:rPr>
          <w:rFonts w:asciiTheme="minorHAnsi" w:hAnsiTheme="minorHAnsi" w:cs="Arial"/>
          <w:sz w:val="22"/>
          <w:szCs w:val="22"/>
        </w:rPr>
        <w:t xml:space="preserve">service </w:t>
      </w:r>
      <w:r w:rsidRPr="00CB731B">
        <w:rPr>
          <w:rFonts w:asciiTheme="minorHAnsi" w:hAnsiTheme="minorHAnsi" w:cs="Arial"/>
          <w:sz w:val="22"/>
          <w:szCs w:val="22"/>
        </w:rPr>
        <w:t xml:space="preserve">contract with the EEA for an initial period of 24 (twenty-four) months, starting from the date of signature, with the possibility of </w:t>
      </w:r>
      <w:r w:rsidR="00DB0431" w:rsidRPr="00CB731B">
        <w:rPr>
          <w:rFonts w:asciiTheme="minorHAnsi" w:hAnsiTheme="minorHAnsi" w:cs="Arial"/>
          <w:sz w:val="22"/>
          <w:szCs w:val="22"/>
        </w:rPr>
        <w:t>maximum two</w:t>
      </w:r>
      <w:r w:rsidRPr="00CB731B">
        <w:rPr>
          <w:rFonts w:asciiTheme="minorHAnsi" w:hAnsiTheme="minorHAnsi" w:cs="Arial"/>
          <w:sz w:val="22"/>
          <w:szCs w:val="22"/>
        </w:rPr>
        <w:t xml:space="preserve"> renewal</w:t>
      </w:r>
      <w:r w:rsidR="00DB0431" w:rsidRPr="00CB731B">
        <w:rPr>
          <w:rFonts w:asciiTheme="minorHAnsi" w:hAnsiTheme="minorHAnsi" w:cs="Arial"/>
          <w:sz w:val="22"/>
          <w:szCs w:val="22"/>
        </w:rPr>
        <w:t>s</w:t>
      </w:r>
      <w:r w:rsidRPr="00CB731B">
        <w:rPr>
          <w:rFonts w:asciiTheme="minorHAnsi" w:hAnsiTheme="minorHAnsi" w:cs="Arial"/>
          <w:sz w:val="22"/>
          <w:szCs w:val="22"/>
        </w:rPr>
        <w:t xml:space="preserve"> for </w:t>
      </w:r>
      <w:r w:rsidR="00DB0431" w:rsidRPr="00CB731B">
        <w:rPr>
          <w:rFonts w:asciiTheme="minorHAnsi" w:hAnsiTheme="minorHAnsi" w:cs="Arial"/>
          <w:sz w:val="22"/>
          <w:szCs w:val="22"/>
        </w:rPr>
        <w:t>a period of 12</w:t>
      </w:r>
      <w:r w:rsidRPr="00CB731B">
        <w:rPr>
          <w:rFonts w:asciiTheme="minorHAnsi" w:hAnsiTheme="minorHAnsi" w:cs="Arial"/>
          <w:sz w:val="22"/>
          <w:szCs w:val="22"/>
        </w:rPr>
        <w:t xml:space="preserve"> (twe</w:t>
      </w:r>
      <w:r w:rsidR="00DB0431" w:rsidRPr="00CB731B">
        <w:rPr>
          <w:rFonts w:asciiTheme="minorHAnsi" w:hAnsiTheme="minorHAnsi" w:cs="Arial"/>
          <w:sz w:val="22"/>
          <w:szCs w:val="22"/>
        </w:rPr>
        <w:t>lve</w:t>
      </w:r>
      <w:r w:rsidRPr="00CB731B">
        <w:rPr>
          <w:rFonts w:asciiTheme="minorHAnsi" w:hAnsiTheme="minorHAnsi" w:cs="Arial"/>
          <w:sz w:val="22"/>
          <w:szCs w:val="22"/>
        </w:rPr>
        <w:t>) months</w:t>
      </w:r>
      <w:r w:rsidR="00DB0431" w:rsidRPr="00CB731B">
        <w:rPr>
          <w:rFonts w:asciiTheme="minorHAnsi" w:hAnsiTheme="minorHAnsi" w:cs="Arial"/>
          <w:sz w:val="22"/>
          <w:szCs w:val="22"/>
        </w:rPr>
        <w:t xml:space="preserve"> each</w:t>
      </w:r>
      <w:r w:rsidRPr="00CB731B">
        <w:rPr>
          <w:rFonts w:asciiTheme="minorHAnsi" w:hAnsiTheme="minorHAnsi" w:cs="Arial"/>
          <w:sz w:val="22"/>
          <w:szCs w:val="22"/>
        </w:rPr>
        <w:t xml:space="preserve">. The services will be implemented through order forms depending on the EEA’s demand. </w:t>
      </w:r>
      <w:r w:rsidR="005B063D">
        <w:rPr>
          <w:rFonts w:asciiTheme="minorHAnsi" w:hAnsiTheme="minorHAnsi" w:cs="Arial"/>
          <w:sz w:val="22"/>
          <w:szCs w:val="22"/>
        </w:rPr>
        <w:t>T</w:t>
      </w:r>
      <w:r w:rsidRPr="00CB731B">
        <w:rPr>
          <w:rFonts w:asciiTheme="minorHAnsi" w:hAnsiTheme="minorHAnsi" w:cs="Arial"/>
          <w:sz w:val="22"/>
          <w:szCs w:val="22"/>
        </w:rPr>
        <w:t xml:space="preserve">he </w:t>
      </w:r>
      <w:r w:rsidR="005B063D">
        <w:rPr>
          <w:rFonts w:asciiTheme="minorHAnsi" w:hAnsiTheme="minorHAnsi" w:cs="Arial"/>
          <w:sz w:val="22"/>
          <w:szCs w:val="22"/>
        </w:rPr>
        <w:t xml:space="preserve">total </w:t>
      </w:r>
      <w:r w:rsidRPr="00CB731B">
        <w:rPr>
          <w:rFonts w:asciiTheme="minorHAnsi" w:hAnsiTheme="minorHAnsi" w:cs="Arial"/>
          <w:sz w:val="22"/>
          <w:szCs w:val="22"/>
        </w:rPr>
        <w:t xml:space="preserve">value of the contract is estimated at </w:t>
      </w:r>
      <w:r w:rsidR="005B063D">
        <w:rPr>
          <w:rFonts w:asciiTheme="minorHAnsi" w:hAnsiTheme="minorHAnsi" w:cs="Arial"/>
          <w:sz w:val="22"/>
          <w:szCs w:val="22"/>
        </w:rPr>
        <w:t>maximum</w:t>
      </w:r>
      <w:r w:rsidR="00915094">
        <w:rPr>
          <w:rFonts w:asciiTheme="minorHAnsi" w:hAnsiTheme="minorHAnsi" w:cs="Arial"/>
          <w:sz w:val="22"/>
          <w:szCs w:val="22"/>
        </w:rPr>
        <w:t xml:space="preserve"> </w:t>
      </w:r>
      <w:r w:rsidRPr="00EC3414">
        <w:rPr>
          <w:rFonts w:asciiTheme="minorHAnsi" w:hAnsiTheme="minorHAnsi" w:cs="Arial"/>
          <w:sz w:val="22"/>
          <w:szCs w:val="22"/>
        </w:rPr>
        <w:t xml:space="preserve">EUR </w:t>
      </w:r>
      <w:r w:rsidR="00417C17" w:rsidRPr="00EC3414">
        <w:rPr>
          <w:rFonts w:asciiTheme="minorHAnsi" w:hAnsiTheme="minorHAnsi" w:cs="Arial"/>
          <w:sz w:val="22"/>
          <w:szCs w:val="22"/>
        </w:rPr>
        <w:t>180</w:t>
      </w:r>
      <w:r w:rsidR="00DB0431" w:rsidRPr="00EC3414">
        <w:rPr>
          <w:rFonts w:asciiTheme="minorHAnsi" w:hAnsiTheme="minorHAnsi" w:cs="Arial"/>
          <w:sz w:val="22"/>
          <w:szCs w:val="22"/>
        </w:rPr>
        <w:t>.000 (</w:t>
      </w:r>
      <w:r w:rsidR="00EC3414">
        <w:rPr>
          <w:rFonts w:asciiTheme="minorHAnsi" w:hAnsiTheme="minorHAnsi" w:cs="Arial"/>
          <w:sz w:val="22"/>
          <w:szCs w:val="22"/>
        </w:rPr>
        <w:t xml:space="preserve">one hundred and eighty </w:t>
      </w:r>
      <w:r w:rsidR="00DB0431" w:rsidRPr="00EC3414">
        <w:rPr>
          <w:rFonts w:asciiTheme="minorHAnsi" w:hAnsiTheme="minorHAnsi" w:cs="Arial"/>
          <w:sz w:val="22"/>
          <w:szCs w:val="22"/>
        </w:rPr>
        <w:t>euro)</w:t>
      </w:r>
      <w:r w:rsidRPr="00EC3414">
        <w:rPr>
          <w:rFonts w:asciiTheme="minorHAnsi" w:hAnsiTheme="minorHAnsi" w:cs="Arial"/>
          <w:sz w:val="22"/>
          <w:szCs w:val="22"/>
        </w:rPr>
        <w:t xml:space="preserve"> </w:t>
      </w:r>
      <w:r w:rsidRPr="00CB731B">
        <w:rPr>
          <w:rFonts w:asciiTheme="minorHAnsi" w:hAnsiTheme="minorHAnsi" w:cs="Arial"/>
          <w:sz w:val="22"/>
          <w:szCs w:val="22"/>
        </w:rPr>
        <w:t xml:space="preserve">over a maximum period of 48 (forty-eight) months covering all services. </w:t>
      </w:r>
      <w:r w:rsidR="00413400">
        <w:rPr>
          <w:rFonts w:asciiTheme="minorHAnsi" w:hAnsiTheme="minorHAnsi" w:cs="Arial"/>
          <w:sz w:val="22"/>
          <w:szCs w:val="22"/>
        </w:rPr>
        <w:t xml:space="preserve">The estimated </w:t>
      </w:r>
      <w:r w:rsidR="005B063D">
        <w:rPr>
          <w:rFonts w:asciiTheme="minorHAnsi" w:hAnsiTheme="minorHAnsi" w:cs="Arial"/>
          <w:sz w:val="22"/>
          <w:szCs w:val="22"/>
        </w:rPr>
        <w:t>budget is split between lots as follows (the breakdown below is merely indicative and may be revised in line with the EEA’s actual needs)</w:t>
      </w:r>
      <w:r w:rsidR="00413400">
        <w:rPr>
          <w:rFonts w:asciiTheme="minorHAnsi" w:hAnsiTheme="minorHAnsi" w:cs="Arial"/>
          <w:sz w:val="22"/>
          <w:szCs w:val="22"/>
        </w:rPr>
        <w:t>:</w:t>
      </w:r>
    </w:p>
    <w:p w14:paraId="4A0F2C66" w14:textId="77777777" w:rsidR="00417C17" w:rsidRDefault="00417C17" w:rsidP="005F1495">
      <w:pPr>
        <w:pStyle w:val="Body"/>
        <w:spacing w:after="0"/>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562"/>
        <w:gridCol w:w="1843"/>
        <w:gridCol w:w="6231"/>
      </w:tblGrid>
      <w:tr w:rsidR="005B063D" w14:paraId="15BEB119" w14:textId="77777777" w:rsidTr="00915094">
        <w:tc>
          <w:tcPr>
            <w:tcW w:w="562" w:type="dxa"/>
            <w:vAlign w:val="center"/>
          </w:tcPr>
          <w:p w14:paraId="43271A19" w14:textId="77777777" w:rsidR="005B063D" w:rsidRDefault="005B063D" w:rsidP="00915094">
            <w:pPr>
              <w:pStyle w:val="Body"/>
              <w:spacing w:before="120" w:after="120"/>
              <w:jc w:val="center"/>
              <w:rPr>
                <w:rFonts w:asciiTheme="minorHAnsi" w:hAnsiTheme="minorHAnsi" w:cs="Arial"/>
                <w:sz w:val="22"/>
                <w:szCs w:val="22"/>
              </w:rPr>
            </w:pPr>
            <w:r>
              <w:rPr>
                <w:rFonts w:asciiTheme="minorHAnsi" w:hAnsiTheme="minorHAnsi" w:cs="Arial"/>
                <w:sz w:val="22"/>
                <w:szCs w:val="22"/>
              </w:rPr>
              <w:t>Lot</w:t>
            </w:r>
          </w:p>
        </w:tc>
        <w:tc>
          <w:tcPr>
            <w:tcW w:w="1843" w:type="dxa"/>
            <w:vAlign w:val="center"/>
          </w:tcPr>
          <w:p w14:paraId="4E211124" w14:textId="77777777" w:rsidR="005B063D" w:rsidRDefault="005B063D" w:rsidP="00915094">
            <w:pPr>
              <w:pStyle w:val="Body"/>
              <w:spacing w:before="120" w:after="120"/>
              <w:jc w:val="center"/>
              <w:rPr>
                <w:rFonts w:asciiTheme="minorHAnsi" w:hAnsiTheme="minorHAnsi" w:cs="Arial"/>
                <w:sz w:val="22"/>
                <w:szCs w:val="22"/>
              </w:rPr>
            </w:pPr>
            <w:r>
              <w:rPr>
                <w:rFonts w:asciiTheme="minorHAnsi" w:hAnsiTheme="minorHAnsi" w:cs="Arial"/>
                <w:sz w:val="22"/>
                <w:szCs w:val="22"/>
              </w:rPr>
              <w:t>Estimated budget</w:t>
            </w:r>
          </w:p>
        </w:tc>
        <w:tc>
          <w:tcPr>
            <w:tcW w:w="6231" w:type="dxa"/>
          </w:tcPr>
          <w:p w14:paraId="659B66AC" w14:textId="77777777" w:rsidR="005B063D" w:rsidRDefault="005B063D" w:rsidP="00915094">
            <w:pPr>
              <w:pStyle w:val="Body"/>
              <w:spacing w:before="120" w:after="120"/>
              <w:jc w:val="both"/>
              <w:rPr>
                <w:rFonts w:asciiTheme="minorHAnsi" w:hAnsiTheme="minorHAnsi" w:cs="Arial"/>
                <w:sz w:val="22"/>
                <w:szCs w:val="22"/>
              </w:rPr>
            </w:pPr>
            <w:r>
              <w:rPr>
                <w:rFonts w:asciiTheme="minorHAnsi" w:hAnsiTheme="minorHAnsi" w:cs="Arial"/>
                <w:sz w:val="22"/>
                <w:szCs w:val="22"/>
              </w:rPr>
              <w:t>Comments</w:t>
            </w:r>
          </w:p>
        </w:tc>
      </w:tr>
      <w:tr w:rsidR="005B063D" w14:paraId="4A43261D" w14:textId="77777777" w:rsidTr="00915094">
        <w:tc>
          <w:tcPr>
            <w:tcW w:w="562" w:type="dxa"/>
            <w:vAlign w:val="center"/>
          </w:tcPr>
          <w:p w14:paraId="4F9CD30A" w14:textId="77777777" w:rsidR="005B063D" w:rsidRDefault="005B063D" w:rsidP="00915094">
            <w:pPr>
              <w:pStyle w:val="Body"/>
              <w:spacing w:before="120" w:after="120"/>
              <w:jc w:val="center"/>
              <w:rPr>
                <w:rFonts w:asciiTheme="minorHAnsi" w:hAnsiTheme="minorHAnsi" w:cs="Arial"/>
                <w:sz w:val="22"/>
                <w:szCs w:val="22"/>
              </w:rPr>
            </w:pPr>
            <w:r>
              <w:rPr>
                <w:rFonts w:asciiTheme="minorHAnsi" w:hAnsiTheme="minorHAnsi" w:cs="Arial"/>
                <w:sz w:val="22"/>
                <w:szCs w:val="22"/>
              </w:rPr>
              <w:t>1</w:t>
            </w:r>
          </w:p>
        </w:tc>
        <w:tc>
          <w:tcPr>
            <w:tcW w:w="1843" w:type="dxa"/>
            <w:vAlign w:val="center"/>
          </w:tcPr>
          <w:p w14:paraId="4E5900FF" w14:textId="77777777" w:rsidR="005B063D" w:rsidRDefault="005B063D" w:rsidP="00915094">
            <w:pPr>
              <w:pStyle w:val="Body"/>
              <w:spacing w:before="120" w:after="120"/>
              <w:jc w:val="center"/>
              <w:rPr>
                <w:rFonts w:asciiTheme="minorHAnsi" w:hAnsiTheme="minorHAnsi" w:cs="Arial"/>
                <w:sz w:val="22"/>
                <w:szCs w:val="22"/>
              </w:rPr>
            </w:pPr>
            <w:r>
              <w:rPr>
                <w:rFonts w:asciiTheme="minorHAnsi" w:hAnsiTheme="minorHAnsi" w:cs="Arial"/>
                <w:sz w:val="22"/>
                <w:szCs w:val="22"/>
              </w:rPr>
              <w:t>EUR 95.000</w:t>
            </w:r>
          </w:p>
        </w:tc>
        <w:tc>
          <w:tcPr>
            <w:tcW w:w="6231" w:type="dxa"/>
          </w:tcPr>
          <w:p w14:paraId="478812B9" w14:textId="77777777" w:rsidR="005B063D" w:rsidRDefault="005B063D" w:rsidP="00915094">
            <w:pPr>
              <w:pStyle w:val="Body"/>
              <w:spacing w:before="120" w:after="120"/>
              <w:jc w:val="both"/>
              <w:rPr>
                <w:rFonts w:asciiTheme="minorHAnsi" w:hAnsiTheme="minorHAnsi" w:cs="Arial"/>
                <w:sz w:val="22"/>
                <w:szCs w:val="22"/>
              </w:rPr>
            </w:pPr>
          </w:p>
        </w:tc>
      </w:tr>
      <w:tr w:rsidR="005B063D" w14:paraId="2B54A525" w14:textId="77777777" w:rsidTr="00915094">
        <w:tc>
          <w:tcPr>
            <w:tcW w:w="562" w:type="dxa"/>
            <w:vAlign w:val="center"/>
          </w:tcPr>
          <w:p w14:paraId="0D19F763" w14:textId="77777777" w:rsidR="005B063D" w:rsidRDefault="005B063D" w:rsidP="00915094">
            <w:pPr>
              <w:pStyle w:val="Body"/>
              <w:spacing w:before="120" w:after="120"/>
              <w:jc w:val="center"/>
              <w:rPr>
                <w:rFonts w:asciiTheme="minorHAnsi" w:hAnsiTheme="minorHAnsi" w:cs="Arial"/>
                <w:sz w:val="22"/>
                <w:szCs w:val="22"/>
              </w:rPr>
            </w:pPr>
            <w:r>
              <w:rPr>
                <w:rFonts w:asciiTheme="minorHAnsi" w:hAnsiTheme="minorHAnsi" w:cs="Arial"/>
                <w:sz w:val="22"/>
                <w:szCs w:val="22"/>
              </w:rPr>
              <w:t>2</w:t>
            </w:r>
          </w:p>
        </w:tc>
        <w:tc>
          <w:tcPr>
            <w:tcW w:w="1843" w:type="dxa"/>
            <w:vAlign w:val="center"/>
          </w:tcPr>
          <w:p w14:paraId="38344411" w14:textId="77777777" w:rsidR="005B063D" w:rsidRDefault="005B063D" w:rsidP="00915094">
            <w:pPr>
              <w:pStyle w:val="Body"/>
              <w:spacing w:before="120" w:after="120"/>
              <w:jc w:val="center"/>
              <w:rPr>
                <w:rFonts w:asciiTheme="minorHAnsi" w:hAnsiTheme="minorHAnsi" w:cs="Arial"/>
                <w:sz w:val="22"/>
                <w:szCs w:val="22"/>
              </w:rPr>
            </w:pPr>
            <w:r>
              <w:rPr>
                <w:rFonts w:asciiTheme="minorHAnsi" w:hAnsiTheme="minorHAnsi" w:cs="Arial"/>
                <w:sz w:val="22"/>
                <w:szCs w:val="22"/>
              </w:rPr>
              <w:t>EUR 35.000</w:t>
            </w:r>
          </w:p>
        </w:tc>
        <w:tc>
          <w:tcPr>
            <w:tcW w:w="6231" w:type="dxa"/>
          </w:tcPr>
          <w:p w14:paraId="4824155E" w14:textId="77777777" w:rsidR="005B063D" w:rsidRDefault="005B063D" w:rsidP="00915094">
            <w:pPr>
              <w:pStyle w:val="Body"/>
              <w:spacing w:before="120" w:after="120"/>
              <w:jc w:val="both"/>
              <w:rPr>
                <w:rFonts w:asciiTheme="minorHAnsi" w:hAnsiTheme="minorHAnsi" w:cs="Arial"/>
                <w:sz w:val="22"/>
                <w:szCs w:val="22"/>
              </w:rPr>
            </w:pPr>
          </w:p>
        </w:tc>
      </w:tr>
      <w:tr w:rsidR="005B063D" w:rsidRPr="00FA6C2D" w14:paraId="53D6C682" w14:textId="77777777" w:rsidTr="00915094">
        <w:tc>
          <w:tcPr>
            <w:tcW w:w="562" w:type="dxa"/>
            <w:vAlign w:val="center"/>
          </w:tcPr>
          <w:p w14:paraId="695048CB" w14:textId="77777777" w:rsidR="005B063D" w:rsidRDefault="005B063D" w:rsidP="00915094">
            <w:pPr>
              <w:pStyle w:val="Body"/>
              <w:spacing w:before="120" w:after="120"/>
              <w:jc w:val="center"/>
              <w:rPr>
                <w:rFonts w:asciiTheme="minorHAnsi" w:hAnsiTheme="minorHAnsi" w:cs="Arial"/>
                <w:sz w:val="22"/>
                <w:szCs w:val="22"/>
              </w:rPr>
            </w:pPr>
            <w:r>
              <w:rPr>
                <w:rFonts w:asciiTheme="minorHAnsi" w:hAnsiTheme="minorHAnsi" w:cs="Arial"/>
                <w:sz w:val="22"/>
                <w:szCs w:val="22"/>
              </w:rPr>
              <w:t>3</w:t>
            </w:r>
          </w:p>
        </w:tc>
        <w:tc>
          <w:tcPr>
            <w:tcW w:w="1843" w:type="dxa"/>
            <w:vAlign w:val="center"/>
          </w:tcPr>
          <w:p w14:paraId="4805711B" w14:textId="77777777" w:rsidR="005B063D" w:rsidRDefault="005B063D" w:rsidP="00915094">
            <w:pPr>
              <w:pStyle w:val="Body"/>
              <w:spacing w:before="120" w:after="120"/>
              <w:jc w:val="center"/>
              <w:rPr>
                <w:rFonts w:asciiTheme="minorHAnsi" w:hAnsiTheme="minorHAnsi" w:cs="Arial"/>
                <w:sz w:val="22"/>
                <w:szCs w:val="22"/>
              </w:rPr>
            </w:pPr>
            <w:r>
              <w:rPr>
                <w:rFonts w:asciiTheme="minorHAnsi" w:hAnsiTheme="minorHAnsi" w:cs="Arial"/>
                <w:sz w:val="22"/>
                <w:szCs w:val="22"/>
              </w:rPr>
              <w:t>EUR 50.000</w:t>
            </w:r>
          </w:p>
        </w:tc>
        <w:tc>
          <w:tcPr>
            <w:tcW w:w="6231" w:type="dxa"/>
          </w:tcPr>
          <w:p w14:paraId="13D0FF17" w14:textId="77777777" w:rsidR="005B063D" w:rsidRDefault="005B063D" w:rsidP="00915094">
            <w:pPr>
              <w:pStyle w:val="Body"/>
              <w:spacing w:before="120" w:after="120"/>
              <w:jc w:val="both"/>
              <w:rPr>
                <w:rFonts w:asciiTheme="minorHAnsi" w:hAnsiTheme="minorHAnsi" w:cs="Arial"/>
                <w:sz w:val="22"/>
                <w:szCs w:val="22"/>
              </w:rPr>
            </w:pPr>
            <w:r>
              <w:rPr>
                <w:rFonts w:asciiTheme="minorHAnsi" w:hAnsiTheme="minorHAnsi" w:cs="Arial"/>
                <w:sz w:val="22"/>
                <w:szCs w:val="22"/>
              </w:rPr>
              <w:t>To be spent on an ad-hoc basis, following the adequate implementation of lots 1 and 2, and in volumes of no more than EUR 20.000 per year</w:t>
            </w:r>
          </w:p>
        </w:tc>
      </w:tr>
    </w:tbl>
    <w:p w14:paraId="718A490F" w14:textId="77777777" w:rsidR="005B063D" w:rsidRDefault="005B063D" w:rsidP="005F1495">
      <w:pPr>
        <w:pStyle w:val="Body"/>
        <w:spacing w:after="0"/>
        <w:jc w:val="both"/>
        <w:rPr>
          <w:rFonts w:asciiTheme="minorHAnsi" w:hAnsiTheme="minorHAnsi" w:cs="Arial"/>
          <w:sz w:val="22"/>
          <w:szCs w:val="22"/>
        </w:rPr>
      </w:pPr>
    </w:p>
    <w:p w14:paraId="64A107E0" w14:textId="29670A01" w:rsidR="00417C17" w:rsidRPr="00417C17" w:rsidRDefault="00417C17" w:rsidP="005F1495">
      <w:pPr>
        <w:pStyle w:val="Body"/>
        <w:spacing w:after="0"/>
        <w:jc w:val="both"/>
        <w:rPr>
          <w:rFonts w:asciiTheme="minorHAnsi" w:hAnsiTheme="minorHAnsi" w:cs="Arial"/>
          <w:sz w:val="22"/>
          <w:szCs w:val="22"/>
        </w:rPr>
      </w:pPr>
      <w:r>
        <w:rPr>
          <w:rFonts w:asciiTheme="minorHAnsi" w:hAnsiTheme="minorHAnsi" w:cs="Arial"/>
          <w:sz w:val="22"/>
          <w:szCs w:val="22"/>
        </w:rPr>
        <w:tab/>
      </w:r>
    </w:p>
    <w:p w14:paraId="10B810AB" w14:textId="77777777" w:rsidR="00DB0431" w:rsidRPr="00CB731B" w:rsidRDefault="00DB0431" w:rsidP="005F1495">
      <w:pPr>
        <w:pStyle w:val="Body"/>
        <w:spacing w:after="0"/>
        <w:jc w:val="both"/>
        <w:rPr>
          <w:rFonts w:asciiTheme="minorHAnsi" w:hAnsiTheme="minorHAnsi" w:cs="Arial"/>
          <w:sz w:val="22"/>
          <w:szCs w:val="22"/>
        </w:rPr>
      </w:pPr>
      <w:r w:rsidRPr="00CB731B">
        <w:rPr>
          <w:rFonts w:asciiTheme="minorHAnsi" w:hAnsiTheme="minorHAnsi" w:cs="Arial"/>
          <w:sz w:val="22"/>
          <w:szCs w:val="22"/>
        </w:rPr>
        <w:t>The EEA reserves the right to adjust the volume of services in line with its needs. Under no circumstances can a minimum volume of services be required by the contractor.</w:t>
      </w:r>
    </w:p>
    <w:p w14:paraId="00642001" w14:textId="77777777" w:rsidR="005F1495" w:rsidRPr="00CB731B" w:rsidRDefault="005F1495" w:rsidP="005F1495">
      <w:pPr>
        <w:pStyle w:val="Body"/>
        <w:spacing w:after="0"/>
        <w:jc w:val="both"/>
        <w:rPr>
          <w:rFonts w:asciiTheme="minorHAnsi" w:hAnsiTheme="minorHAnsi" w:cs="Arial"/>
          <w:sz w:val="22"/>
          <w:szCs w:val="22"/>
        </w:rPr>
      </w:pPr>
    </w:p>
    <w:p w14:paraId="1C2C7C77" w14:textId="77777777" w:rsidR="005F1495" w:rsidRPr="00CB731B" w:rsidRDefault="005F1495" w:rsidP="005F1495">
      <w:pPr>
        <w:pStyle w:val="Body"/>
        <w:spacing w:after="0"/>
        <w:jc w:val="both"/>
        <w:rPr>
          <w:rFonts w:asciiTheme="minorHAnsi" w:hAnsiTheme="minorHAnsi" w:cs="Arial"/>
          <w:sz w:val="22"/>
          <w:szCs w:val="22"/>
        </w:rPr>
      </w:pPr>
      <w:r w:rsidRPr="00CB731B">
        <w:rPr>
          <w:rFonts w:asciiTheme="minorHAnsi" w:hAnsiTheme="minorHAnsi" w:cs="Arial"/>
          <w:sz w:val="22"/>
          <w:szCs w:val="22"/>
        </w:rPr>
        <w:t>The place of performance of the services shall be at the contractor’s premises.</w:t>
      </w:r>
    </w:p>
    <w:p w14:paraId="71AF9A40" w14:textId="77777777" w:rsidR="005F1495" w:rsidRPr="00CB731B" w:rsidRDefault="005F1495" w:rsidP="005F1495">
      <w:pPr>
        <w:pStyle w:val="Body"/>
        <w:spacing w:after="0"/>
        <w:jc w:val="both"/>
        <w:rPr>
          <w:rFonts w:asciiTheme="minorHAnsi" w:hAnsiTheme="minorHAnsi" w:cs="Arial"/>
          <w:sz w:val="22"/>
          <w:szCs w:val="22"/>
        </w:rPr>
      </w:pPr>
    </w:p>
    <w:p w14:paraId="78BD7A3D" w14:textId="77777777" w:rsidR="005F1495" w:rsidRPr="00CB731B" w:rsidRDefault="005F1495" w:rsidP="005F1495">
      <w:pPr>
        <w:pStyle w:val="ListBullet1"/>
        <w:numPr>
          <w:ilvl w:val="0"/>
          <w:numId w:val="0"/>
        </w:numPr>
        <w:rPr>
          <w:rFonts w:asciiTheme="minorHAnsi" w:hAnsiTheme="minorHAnsi" w:cs="Arial"/>
          <w:b/>
          <w:sz w:val="22"/>
          <w:szCs w:val="22"/>
          <w:lang w:val="en-GB"/>
        </w:rPr>
      </w:pPr>
      <w:r w:rsidRPr="00CB731B">
        <w:rPr>
          <w:rFonts w:asciiTheme="minorHAnsi" w:hAnsiTheme="minorHAnsi" w:cs="Arial"/>
          <w:b/>
          <w:sz w:val="22"/>
          <w:szCs w:val="22"/>
          <w:lang w:val="en-GB"/>
        </w:rPr>
        <w:t>8.</w:t>
      </w:r>
      <w:r w:rsidRPr="00CB731B">
        <w:rPr>
          <w:rFonts w:asciiTheme="minorHAnsi" w:hAnsiTheme="minorHAnsi" w:cs="Arial"/>
          <w:b/>
          <w:sz w:val="22"/>
          <w:szCs w:val="22"/>
          <w:lang w:val="en-GB"/>
        </w:rPr>
        <w:tab/>
        <w:t>Price</w:t>
      </w:r>
    </w:p>
    <w:p w14:paraId="18077312" w14:textId="77777777" w:rsidR="005F1495" w:rsidRPr="00CB731B" w:rsidRDefault="005F1495" w:rsidP="005F1495">
      <w:pPr>
        <w:pStyle w:val="ListBullet1"/>
        <w:numPr>
          <w:ilvl w:val="0"/>
          <w:numId w:val="0"/>
        </w:numPr>
        <w:ind w:left="74"/>
        <w:rPr>
          <w:rFonts w:asciiTheme="minorHAnsi" w:hAnsiTheme="minorHAnsi" w:cs="Arial"/>
          <w:sz w:val="22"/>
          <w:szCs w:val="22"/>
          <w:lang w:val="en-GB"/>
        </w:rPr>
      </w:pPr>
      <w:r w:rsidRPr="00CB731B">
        <w:rPr>
          <w:rFonts w:asciiTheme="minorHAnsi" w:hAnsiTheme="minorHAnsi" w:cs="Arial"/>
          <w:sz w:val="22"/>
          <w:szCs w:val="22"/>
          <w:lang w:val="en-GB"/>
        </w:rPr>
        <w:t>Tenderers are required to quote prices for the services to be provided as follows:</w:t>
      </w:r>
    </w:p>
    <w:p w14:paraId="70D62538" w14:textId="77777777" w:rsidR="00DB0431" w:rsidRPr="00CB731B" w:rsidRDefault="00DB0431" w:rsidP="005F1495">
      <w:pPr>
        <w:pStyle w:val="ListBullet1"/>
        <w:numPr>
          <w:ilvl w:val="1"/>
          <w:numId w:val="5"/>
        </w:numPr>
        <w:tabs>
          <w:tab w:val="clear" w:pos="1077"/>
          <w:tab w:val="num" w:pos="360"/>
        </w:tabs>
        <w:ind w:left="360" w:hanging="360"/>
        <w:rPr>
          <w:rFonts w:asciiTheme="minorHAnsi" w:hAnsiTheme="minorHAnsi" w:cs="Arial"/>
          <w:sz w:val="22"/>
          <w:szCs w:val="22"/>
          <w:lang w:val="en-GB"/>
        </w:rPr>
      </w:pPr>
      <w:r w:rsidRPr="00CB731B">
        <w:rPr>
          <w:rFonts w:asciiTheme="minorHAnsi" w:hAnsiTheme="minorHAnsi" w:cs="Arial"/>
          <w:sz w:val="22"/>
          <w:szCs w:val="22"/>
          <w:lang w:val="en-GB"/>
        </w:rPr>
        <w:t>Prices must be quoted in compliance with the requirements specified in section 9.3.2 below</w:t>
      </w:r>
      <w:r w:rsidR="005B063D">
        <w:rPr>
          <w:rFonts w:asciiTheme="minorHAnsi" w:hAnsiTheme="minorHAnsi" w:cs="Arial"/>
          <w:sz w:val="22"/>
          <w:szCs w:val="22"/>
          <w:lang w:val="en-GB"/>
        </w:rPr>
        <w:t>;</w:t>
      </w:r>
    </w:p>
    <w:p w14:paraId="625ED193" w14:textId="70F79131" w:rsidR="005F1495" w:rsidRPr="00CB731B" w:rsidRDefault="005F1495" w:rsidP="005F1495">
      <w:pPr>
        <w:pStyle w:val="ListBullet1"/>
        <w:numPr>
          <w:ilvl w:val="1"/>
          <w:numId w:val="5"/>
        </w:numPr>
        <w:tabs>
          <w:tab w:val="clear" w:pos="1077"/>
          <w:tab w:val="num" w:pos="360"/>
        </w:tabs>
        <w:ind w:left="360" w:hanging="360"/>
        <w:rPr>
          <w:rFonts w:asciiTheme="minorHAnsi" w:hAnsiTheme="minorHAnsi" w:cs="Arial"/>
          <w:sz w:val="22"/>
          <w:szCs w:val="22"/>
          <w:lang w:val="en-GB"/>
        </w:rPr>
      </w:pPr>
      <w:r w:rsidRPr="00CB731B">
        <w:rPr>
          <w:rFonts w:asciiTheme="minorHAnsi" w:hAnsiTheme="minorHAnsi" w:cs="Arial"/>
          <w:sz w:val="22"/>
          <w:szCs w:val="22"/>
          <w:lang w:val="en-GB"/>
        </w:rPr>
        <w:t xml:space="preserve">Prices quoted must be </w:t>
      </w:r>
      <w:r w:rsidRPr="00CB731B">
        <w:rPr>
          <w:rFonts w:asciiTheme="minorHAnsi" w:hAnsiTheme="minorHAnsi" w:cs="Arial"/>
          <w:b/>
          <w:i/>
          <w:sz w:val="22"/>
          <w:szCs w:val="22"/>
          <w:lang w:val="en-GB"/>
        </w:rPr>
        <w:t>all-inclusive</w:t>
      </w:r>
      <w:r w:rsidRPr="00CB731B">
        <w:rPr>
          <w:rFonts w:asciiTheme="minorHAnsi" w:hAnsiTheme="minorHAnsi" w:cs="Arial"/>
          <w:sz w:val="22"/>
          <w:szCs w:val="22"/>
          <w:lang w:val="en-GB"/>
        </w:rPr>
        <w:t xml:space="preserve"> (i.e. inclu</w:t>
      </w:r>
      <w:r w:rsidR="00DB0431" w:rsidRPr="00CB731B">
        <w:rPr>
          <w:rFonts w:asciiTheme="minorHAnsi" w:hAnsiTheme="minorHAnsi" w:cs="Arial"/>
          <w:sz w:val="22"/>
          <w:szCs w:val="22"/>
          <w:lang w:val="en-GB"/>
        </w:rPr>
        <w:t xml:space="preserve">sive of all costs involved in the performance of the </w:t>
      </w:r>
      <w:r w:rsidR="005B063D">
        <w:rPr>
          <w:rFonts w:asciiTheme="minorHAnsi" w:hAnsiTheme="minorHAnsi" w:cs="Arial"/>
          <w:sz w:val="22"/>
          <w:szCs w:val="22"/>
          <w:lang w:val="en-GB"/>
        </w:rPr>
        <w:t>services</w:t>
      </w:r>
      <w:r w:rsidR="005B063D" w:rsidRPr="00CB731B">
        <w:rPr>
          <w:rFonts w:asciiTheme="minorHAnsi" w:hAnsiTheme="minorHAnsi" w:cs="Arial"/>
          <w:sz w:val="22"/>
          <w:szCs w:val="22"/>
          <w:lang w:val="en-GB"/>
        </w:rPr>
        <w:t xml:space="preserve"> </w:t>
      </w:r>
      <w:r w:rsidR="00DB0431" w:rsidRPr="00CB731B">
        <w:rPr>
          <w:rFonts w:asciiTheme="minorHAnsi" w:hAnsiTheme="minorHAnsi" w:cs="Arial"/>
          <w:sz w:val="22"/>
          <w:szCs w:val="22"/>
          <w:lang w:val="en-GB"/>
        </w:rPr>
        <w:t>(</w:t>
      </w:r>
      <w:r w:rsidRPr="00CB731B">
        <w:rPr>
          <w:rFonts w:asciiTheme="minorHAnsi" w:hAnsiTheme="minorHAnsi" w:cs="Arial"/>
          <w:sz w:val="22"/>
          <w:szCs w:val="22"/>
          <w:lang w:val="en-GB"/>
        </w:rPr>
        <w:t>management</w:t>
      </w:r>
      <w:r w:rsidR="00DB0431" w:rsidRPr="00CB731B">
        <w:rPr>
          <w:rFonts w:asciiTheme="minorHAnsi" w:hAnsiTheme="minorHAnsi" w:cs="Arial"/>
          <w:sz w:val="22"/>
          <w:szCs w:val="22"/>
          <w:lang w:val="en-GB"/>
        </w:rPr>
        <w:t>,</w:t>
      </w:r>
      <w:r w:rsidRPr="00CB731B">
        <w:rPr>
          <w:rFonts w:asciiTheme="minorHAnsi" w:hAnsiTheme="minorHAnsi" w:cs="Arial"/>
          <w:sz w:val="22"/>
          <w:szCs w:val="22"/>
          <w:lang w:val="en-GB"/>
        </w:rPr>
        <w:t xml:space="preserve"> administrative</w:t>
      </w:r>
      <w:r w:rsidR="00DB0431" w:rsidRPr="00CB731B">
        <w:rPr>
          <w:rFonts w:asciiTheme="minorHAnsi" w:hAnsiTheme="minorHAnsi" w:cs="Arial"/>
          <w:sz w:val="22"/>
          <w:szCs w:val="22"/>
          <w:lang w:val="en-GB"/>
        </w:rPr>
        <w:t xml:space="preserve"> and travel</w:t>
      </w:r>
      <w:r w:rsidRPr="00CB731B">
        <w:rPr>
          <w:rFonts w:asciiTheme="minorHAnsi" w:hAnsiTheme="minorHAnsi" w:cs="Arial"/>
          <w:sz w:val="22"/>
          <w:szCs w:val="22"/>
          <w:lang w:val="en-GB"/>
        </w:rPr>
        <w:t xml:space="preserve"> costs</w:t>
      </w:r>
      <w:r w:rsidR="006001D2">
        <w:rPr>
          <w:rFonts w:asciiTheme="minorHAnsi" w:hAnsiTheme="minorHAnsi" w:cs="Arial"/>
          <w:sz w:val="22"/>
          <w:szCs w:val="22"/>
          <w:lang w:val="en-GB"/>
        </w:rPr>
        <w:t>, with the exception specified in section 6.5 above</w:t>
      </w:r>
      <w:r w:rsidRPr="00CB731B">
        <w:rPr>
          <w:rFonts w:asciiTheme="minorHAnsi" w:hAnsiTheme="minorHAnsi" w:cs="Arial"/>
          <w:sz w:val="22"/>
          <w:szCs w:val="22"/>
          <w:lang w:val="en-GB"/>
        </w:rPr>
        <w:t xml:space="preserve">) and expressed in </w:t>
      </w:r>
      <w:r w:rsidRPr="00CB731B">
        <w:rPr>
          <w:rFonts w:asciiTheme="minorHAnsi" w:hAnsiTheme="minorHAnsi" w:cs="Arial"/>
          <w:b/>
          <w:i/>
          <w:sz w:val="22"/>
          <w:szCs w:val="22"/>
          <w:lang w:val="en-GB"/>
        </w:rPr>
        <w:t xml:space="preserve">euro </w:t>
      </w:r>
      <w:r w:rsidRPr="00CB731B">
        <w:rPr>
          <w:rFonts w:asciiTheme="minorHAnsi" w:hAnsiTheme="minorHAnsi" w:cs="Arial"/>
          <w:sz w:val="22"/>
          <w:szCs w:val="22"/>
          <w:lang w:val="en-GB"/>
        </w:rPr>
        <w:t>including for tenderers established in countries that are not part of the Eurozone. For tenderers in countries that do not belong to the Eurozone, the price quoted may not be revised in line with exchange rate movements. It is for the tenderers to select an exchange rate and assume the risks or the benefits deriving from any variation;</w:t>
      </w:r>
    </w:p>
    <w:p w14:paraId="6A9AD488" w14:textId="6489F3EB" w:rsidR="005F1495" w:rsidRPr="00CB731B" w:rsidRDefault="005F1495" w:rsidP="005F1495">
      <w:pPr>
        <w:pStyle w:val="ListBullet1"/>
        <w:numPr>
          <w:ilvl w:val="1"/>
          <w:numId w:val="5"/>
        </w:numPr>
        <w:tabs>
          <w:tab w:val="clear" w:pos="1077"/>
          <w:tab w:val="num" w:pos="360"/>
        </w:tabs>
        <w:ind w:left="360" w:hanging="360"/>
        <w:rPr>
          <w:rFonts w:asciiTheme="minorHAnsi" w:hAnsiTheme="minorHAnsi" w:cs="Arial"/>
          <w:sz w:val="22"/>
          <w:szCs w:val="22"/>
          <w:lang w:val="en-GB"/>
        </w:rPr>
      </w:pPr>
      <w:r w:rsidRPr="00CB731B">
        <w:rPr>
          <w:rFonts w:asciiTheme="minorHAnsi" w:hAnsiTheme="minorHAnsi" w:cs="Arial"/>
          <w:sz w:val="22"/>
          <w:szCs w:val="22"/>
          <w:lang w:val="en-GB"/>
        </w:rPr>
        <w:t xml:space="preserve">No additional expenses incurred in the performance of the services will be reimbursed separately by EEA; </w:t>
      </w:r>
      <w:r w:rsidR="000217D3" w:rsidRPr="00CB731B">
        <w:rPr>
          <w:rFonts w:asciiTheme="minorHAnsi" w:hAnsiTheme="minorHAnsi" w:cs="Arial"/>
          <w:sz w:val="22"/>
          <w:szCs w:val="22"/>
          <w:lang w:val="en-GB"/>
        </w:rPr>
        <w:t xml:space="preserve">travel time and costs incurred during the journey to the EEA premises are not reimbursed to either </w:t>
      </w:r>
      <w:r w:rsidR="008C3BAB">
        <w:rPr>
          <w:rFonts w:asciiTheme="minorHAnsi" w:hAnsiTheme="minorHAnsi" w:cs="Arial"/>
          <w:sz w:val="22"/>
          <w:szCs w:val="22"/>
          <w:lang w:val="en-GB"/>
        </w:rPr>
        <w:t>trainers, consultants and/or coaches</w:t>
      </w:r>
      <w:r w:rsidR="000217D3" w:rsidRPr="00CB731B">
        <w:rPr>
          <w:rFonts w:asciiTheme="minorHAnsi" w:hAnsiTheme="minorHAnsi" w:cs="Arial"/>
          <w:sz w:val="22"/>
          <w:szCs w:val="22"/>
          <w:lang w:val="en-GB"/>
        </w:rPr>
        <w:t xml:space="preserve"> nor the contractor;</w:t>
      </w:r>
    </w:p>
    <w:p w14:paraId="50D86755" w14:textId="77777777" w:rsidR="00DB0431" w:rsidRPr="00CB731B" w:rsidRDefault="00DB0431" w:rsidP="005F1495">
      <w:pPr>
        <w:pStyle w:val="ListBullet1"/>
        <w:numPr>
          <w:ilvl w:val="1"/>
          <w:numId w:val="5"/>
        </w:numPr>
        <w:tabs>
          <w:tab w:val="clear" w:pos="1077"/>
          <w:tab w:val="num" w:pos="360"/>
        </w:tabs>
        <w:ind w:left="360" w:hanging="360"/>
        <w:rPr>
          <w:rFonts w:asciiTheme="minorHAnsi" w:hAnsiTheme="minorHAnsi" w:cs="Arial"/>
          <w:sz w:val="22"/>
          <w:szCs w:val="22"/>
          <w:lang w:val="en-GB"/>
        </w:rPr>
      </w:pPr>
      <w:r w:rsidRPr="00CB731B">
        <w:rPr>
          <w:rFonts w:asciiTheme="minorHAnsi" w:hAnsiTheme="minorHAnsi" w:cs="Arial"/>
          <w:sz w:val="22"/>
          <w:szCs w:val="22"/>
          <w:lang w:val="en-GB"/>
        </w:rPr>
        <w:lastRenderedPageBreak/>
        <w:t>Prices quoted must be fixed and not subject to revision during the first year of duration of the contract.</w:t>
      </w:r>
    </w:p>
    <w:p w14:paraId="1901005F" w14:textId="77777777" w:rsidR="00DB0431" w:rsidRPr="00CB731B" w:rsidRDefault="00DB0431" w:rsidP="00DB0431">
      <w:pPr>
        <w:tabs>
          <w:tab w:val="num" w:pos="426"/>
        </w:tabs>
        <w:spacing w:before="120" w:after="120"/>
        <w:ind w:left="426"/>
        <w:rPr>
          <w:rFonts w:asciiTheme="minorHAnsi" w:hAnsiTheme="minorHAnsi" w:cstheme="minorHAnsi"/>
          <w:sz w:val="22"/>
          <w:szCs w:val="22"/>
          <w:lang w:val="en-GB"/>
        </w:rPr>
      </w:pPr>
      <w:r w:rsidRPr="00CB731B">
        <w:rPr>
          <w:rFonts w:asciiTheme="minorHAnsi" w:hAnsiTheme="minorHAnsi" w:cs="Arial"/>
          <w:sz w:val="22"/>
          <w:szCs w:val="22"/>
          <w:lang w:val="en-GB"/>
        </w:rPr>
        <w:t xml:space="preserve">From the beginning of the </w:t>
      </w:r>
      <w:r w:rsidRPr="00CB731B">
        <w:rPr>
          <w:rFonts w:asciiTheme="minorHAnsi" w:hAnsiTheme="minorHAnsi" w:cstheme="minorHAnsi"/>
          <w:sz w:val="22"/>
          <w:szCs w:val="22"/>
          <w:lang w:val="en-GB"/>
        </w:rPr>
        <w:t>second year of duration of the contract, 80% of the prices may be revised upwards or downwards each year, where such revision is requested by one of the contracting parties by registered letter no later than 3 (three) months before the anniversary of the date on which it was signed.</w:t>
      </w:r>
    </w:p>
    <w:p w14:paraId="567803D8" w14:textId="77777777" w:rsidR="00DB0431" w:rsidRPr="00CB731B" w:rsidRDefault="00DB0431" w:rsidP="00DB0431">
      <w:pPr>
        <w:tabs>
          <w:tab w:val="num" w:pos="360"/>
        </w:tabs>
        <w:spacing w:before="120" w:after="120"/>
        <w:ind w:left="426"/>
        <w:rPr>
          <w:rFonts w:asciiTheme="minorHAnsi" w:hAnsiTheme="minorHAnsi" w:cstheme="minorHAnsi"/>
          <w:sz w:val="22"/>
          <w:szCs w:val="22"/>
          <w:lang w:val="en-GB"/>
        </w:rPr>
      </w:pPr>
      <w:r w:rsidRPr="00CB731B">
        <w:rPr>
          <w:rFonts w:asciiTheme="minorHAnsi" w:hAnsiTheme="minorHAnsi" w:cstheme="minorHAnsi"/>
          <w:sz w:val="22"/>
          <w:szCs w:val="22"/>
          <w:lang w:val="en-GB"/>
        </w:rPr>
        <w:t>The EEA shall purchase on the basis of the price in force on the date on which specific contracts are signed. Such prices shall not be subject to revision.</w:t>
      </w:r>
    </w:p>
    <w:p w14:paraId="55384C4F" w14:textId="6BCCDA29" w:rsidR="00DB0431" w:rsidRPr="00CB731B" w:rsidRDefault="00DB0431" w:rsidP="00DB0431">
      <w:pPr>
        <w:tabs>
          <w:tab w:val="num" w:pos="360"/>
        </w:tabs>
        <w:spacing w:before="120" w:after="120"/>
        <w:ind w:left="426"/>
        <w:rPr>
          <w:rFonts w:asciiTheme="minorHAnsi" w:hAnsiTheme="minorHAnsi" w:cstheme="minorHAnsi"/>
          <w:sz w:val="22"/>
          <w:szCs w:val="22"/>
          <w:lang w:val="en-GB"/>
        </w:rPr>
      </w:pPr>
      <w:r w:rsidRPr="00CB731B">
        <w:rPr>
          <w:rFonts w:asciiTheme="minorHAnsi" w:hAnsiTheme="minorHAnsi" w:cstheme="minorHAnsi"/>
          <w:sz w:val="22"/>
          <w:szCs w:val="22"/>
          <w:lang w:val="en-GB"/>
        </w:rPr>
        <w:t xml:space="preserve">The revision shall be determined by the trend in the harmonised indices of consumer price (HICP) published by the European Commission on Eurostat web page at </w:t>
      </w:r>
      <w:hyperlink r:id="rId9" w:history="1">
        <w:r w:rsidR="005E4502" w:rsidRPr="0005618B">
          <w:rPr>
            <w:rStyle w:val="Hyperlink"/>
            <w:rFonts w:asciiTheme="minorHAnsi" w:hAnsiTheme="minorHAnsi" w:cstheme="minorHAnsi"/>
            <w:sz w:val="22"/>
            <w:szCs w:val="22"/>
            <w:lang w:val="en-GB"/>
          </w:rPr>
          <w:t>http://ec.europa.eu/eurostat/data/database</w:t>
        </w:r>
      </w:hyperlink>
      <w:r w:rsidR="005E4502">
        <w:rPr>
          <w:rFonts w:asciiTheme="minorHAnsi" w:hAnsiTheme="minorHAnsi" w:cstheme="minorHAnsi"/>
          <w:sz w:val="22"/>
          <w:szCs w:val="22"/>
          <w:lang w:val="en-GB"/>
        </w:rPr>
        <w:t xml:space="preserve"> </w:t>
      </w:r>
      <w:hyperlink w:history="1"/>
      <w:r w:rsidRPr="00CB731B">
        <w:rPr>
          <w:rFonts w:asciiTheme="minorHAnsi" w:hAnsiTheme="minorHAnsi" w:cstheme="minorHAnsi"/>
          <w:sz w:val="22"/>
          <w:szCs w:val="22"/>
          <w:lang w:val="en-GB"/>
        </w:rPr>
        <w:t>(Theme  – Economy and Finance; Price</w:t>
      </w:r>
      <w:r w:rsidR="005E4502">
        <w:rPr>
          <w:rFonts w:asciiTheme="minorHAnsi" w:hAnsiTheme="minorHAnsi" w:cstheme="minorHAnsi"/>
          <w:sz w:val="22"/>
          <w:szCs w:val="22"/>
          <w:lang w:val="en-GB"/>
        </w:rPr>
        <w:t>s (</w:t>
      </w:r>
      <w:proofErr w:type="spellStart"/>
      <w:r w:rsidR="005E4502">
        <w:rPr>
          <w:rFonts w:asciiTheme="minorHAnsi" w:hAnsiTheme="minorHAnsi" w:cstheme="minorHAnsi"/>
          <w:sz w:val="22"/>
          <w:szCs w:val="22"/>
          <w:lang w:val="en-GB"/>
        </w:rPr>
        <w:t>prc</w:t>
      </w:r>
      <w:proofErr w:type="spellEnd"/>
      <w:r w:rsidR="005E4502">
        <w:rPr>
          <w:rFonts w:asciiTheme="minorHAnsi" w:hAnsiTheme="minorHAnsi" w:cstheme="minorHAnsi"/>
          <w:sz w:val="22"/>
          <w:szCs w:val="22"/>
          <w:lang w:val="en-GB"/>
        </w:rPr>
        <w:t>)</w:t>
      </w:r>
      <w:r w:rsidRPr="00CB731B">
        <w:rPr>
          <w:rFonts w:asciiTheme="minorHAnsi" w:hAnsiTheme="minorHAnsi" w:cstheme="minorHAnsi"/>
          <w:sz w:val="22"/>
          <w:szCs w:val="22"/>
          <w:lang w:val="en-GB"/>
        </w:rPr>
        <w:t xml:space="preserve">; Harmonised </w:t>
      </w:r>
      <w:r w:rsidR="005E4502">
        <w:rPr>
          <w:rFonts w:asciiTheme="minorHAnsi" w:hAnsiTheme="minorHAnsi" w:cstheme="minorHAnsi"/>
          <w:sz w:val="22"/>
          <w:szCs w:val="22"/>
          <w:lang w:val="en-GB"/>
        </w:rPr>
        <w:t>i</w:t>
      </w:r>
      <w:r w:rsidR="005E4502" w:rsidRPr="00CB731B">
        <w:rPr>
          <w:rFonts w:asciiTheme="minorHAnsi" w:hAnsiTheme="minorHAnsi" w:cstheme="minorHAnsi"/>
          <w:sz w:val="22"/>
          <w:szCs w:val="22"/>
          <w:lang w:val="en-GB"/>
        </w:rPr>
        <w:t xml:space="preserve">ndices </w:t>
      </w:r>
      <w:r w:rsidRPr="00CB731B">
        <w:rPr>
          <w:rFonts w:asciiTheme="minorHAnsi" w:hAnsiTheme="minorHAnsi" w:cstheme="minorHAnsi"/>
          <w:sz w:val="22"/>
          <w:szCs w:val="22"/>
          <w:lang w:val="en-GB"/>
        </w:rPr>
        <w:t xml:space="preserve">of </w:t>
      </w:r>
      <w:r w:rsidR="005E4502">
        <w:rPr>
          <w:rFonts w:asciiTheme="minorHAnsi" w:hAnsiTheme="minorHAnsi" w:cstheme="minorHAnsi"/>
          <w:sz w:val="22"/>
          <w:szCs w:val="22"/>
          <w:lang w:val="en-GB"/>
        </w:rPr>
        <w:t>c</w:t>
      </w:r>
      <w:r w:rsidR="005E4502" w:rsidRPr="00CB731B">
        <w:rPr>
          <w:rFonts w:asciiTheme="minorHAnsi" w:hAnsiTheme="minorHAnsi" w:cstheme="minorHAnsi"/>
          <w:sz w:val="22"/>
          <w:szCs w:val="22"/>
          <w:lang w:val="en-GB"/>
        </w:rPr>
        <w:t xml:space="preserve">onsumer </w:t>
      </w:r>
      <w:r w:rsidR="005E4502">
        <w:rPr>
          <w:rFonts w:asciiTheme="minorHAnsi" w:hAnsiTheme="minorHAnsi" w:cstheme="minorHAnsi"/>
          <w:sz w:val="22"/>
          <w:szCs w:val="22"/>
          <w:lang w:val="en-GB"/>
        </w:rPr>
        <w:t>p</w:t>
      </w:r>
      <w:r w:rsidR="005E4502" w:rsidRPr="00CB731B">
        <w:rPr>
          <w:rFonts w:asciiTheme="minorHAnsi" w:hAnsiTheme="minorHAnsi" w:cstheme="minorHAnsi"/>
          <w:sz w:val="22"/>
          <w:szCs w:val="22"/>
          <w:lang w:val="en-GB"/>
        </w:rPr>
        <w:t>rices</w:t>
      </w:r>
      <w:r w:rsidR="005E4502">
        <w:rPr>
          <w:rFonts w:asciiTheme="minorHAnsi" w:hAnsiTheme="minorHAnsi" w:cstheme="minorHAnsi"/>
          <w:sz w:val="22"/>
          <w:szCs w:val="22"/>
          <w:lang w:val="en-GB"/>
        </w:rPr>
        <w:t xml:space="preserve"> (HICP) (</w:t>
      </w:r>
      <w:proofErr w:type="spellStart"/>
      <w:r w:rsidR="005E4502">
        <w:rPr>
          <w:rFonts w:asciiTheme="minorHAnsi" w:hAnsiTheme="minorHAnsi" w:cstheme="minorHAnsi"/>
          <w:sz w:val="22"/>
          <w:szCs w:val="22"/>
          <w:lang w:val="en-GB"/>
        </w:rPr>
        <w:t>prc_hicp</w:t>
      </w:r>
      <w:proofErr w:type="spellEnd"/>
      <w:r w:rsidR="005E4502">
        <w:rPr>
          <w:rFonts w:asciiTheme="minorHAnsi" w:hAnsiTheme="minorHAnsi" w:cstheme="minorHAnsi"/>
          <w:sz w:val="22"/>
          <w:szCs w:val="22"/>
          <w:lang w:val="en-GB"/>
        </w:rPr>
        <w:t>)</w:t>
      </w:r>
      <w:r w:rsidRPr="00CB731B">
        <w:rPr>
          <w:rFonts w:asciiTheme="minorHAnsi" w:hAnsiTheme="minorHAnsi" w:cstheme="minorHAnsi"/>
          <w:sz w:val="22"/>
          <w:szCs w:val="22"/>
          <w:lang w:val="en-GB"/>
        </w:rPr>
        <w:t xml:space="preserve">; </w:t>
      </w:r>
      <w:r w:rsidR="005E4502">
        <w:rPr>
          <w:rFonts w:asciiTheme="minorHAnsi" w:hAnsiTheme="minorHAnsi" w:cstheme="minorHAnsi"/>
          <w:sz w:val="22"/>
          <w:szCs w:val="22"/>
          <w:lang w:val="en-GB"/>
        </w:rPr>
        <w:t>HICP (2005=100) – monthly data (index) (</w:t>
      </w:r>
      <w:proofErr w:type="spellStart"/>
      <w:r w:rsidR="005E4502">
        <w:rPr>
          <w:rFonts w:asciiTheme="minorHAnsi" w:hAnsiTheme="minorHAnsi" w:cstheme="minorHAnsi"/>
          <w:sz w:val="22"/>
          <w:szCs w:val="22"/>
          <w:lang w:val="en-GB"/>
        </w:rPr>
        <w:t>prc_hicp_midx</w:t>
      </w:r>
      <w:proofErr w:type="spellEnd"/>
      <w:r w:rsidR="005E4502">
        <w:rPr>
          <w:rFonts w:asciiTheme="minorHAnsi" w:hAnsiTheme="minorHAnsi" w:cstheme="minorHAnsi"/>
          <w:sz w:val="22"/>
          <w:szCs w:val="22"/>
          <w:lang w:val="en-GB"/>
        </w:rPr>
        <w:t>)</w:t>
      </w:r>
      <w:r w:rsidRPr="00CB731B">
        <w:rPr>
          <w:rFonts w:asciiTheme="minorHAnsi" w:hAnsiTheme="minorHAnsi" w:cstheme="minorHAnsi"/>
          <w:sz w:val="22"/>
          <w:szCs w:val="22"/>
          <w:lang w:val="en-GB"/>
        </w:rPr>
        <w:t>; GEO – Euro area (EA11-2000, EA12-2006, EA13-2007, EA15-2008, EA-16-2010, EA17</w:t>
      </w:r>
      <w:r w:rsidR="005E4502">
        <w:rPr>
          <w:rFonts w:asciiTheme="minorHAnsi" w:hAnsiTheme="minorHAnsi" w:cstheme="minorHAnsi"/>
          <w:sz w:val="22"/>
          <w:szCs w:val="22"/>
          <w:lang w:val="en-GB"/>
        </w:rPr>
        <w:t>-2013, EA18</w:t>
      </w:r>
      <w:r w:rsidRPr="00CB731B">
        <w:rPr>
          <w:rFonts w:asciiTheme="minorHAnsi" w:hAnsiTheme="minorHAnsi" w:cstheme="minorHAnsi"/>
          <w:sz w:val="22"/>
          <w:szCs w:val="22"/>
          <w:lang w:val="en-GB"/>
        </w:rPr>
        <w:t>).</w:t>
      </w:r>
    </w:p>
    <w:p w14:paraId="6BD4608B" w14:textId="77777777" w:rsidR="00DB0431" w:rsidRPr="00CB731B" w:rsidRDefault="00DB0431" w:rsidP="00DB0431">
      <w:pPr>
        <w:spacing w:before="120" w:after="120"/>
        <w:ind w:left="426"/>
        <w:rPr>
          <w:rFonts w:asciiTheme="minorHAnsi" w:hAnsiTheme="minorHAnsi" w:cstheme="minorHAnsi"/>
          <w:sz w:val="22"/>
          <w:szCs w:val="22"/>
          <w:lang w:val="en-GB"/>
        </w:rPr>
      </w:pPr>
      <w:r w:rsidRPr="00CB731B">
        <w:rPr>
          <w:rFonts w:asciiTheme="minorHAnsi" w:hAnsiTheme="minorHAnsi" w:cstheme="minorHAnsi"/>
          <w:sz w:val="22"/>
          <w:szCs w:val="22"/>
          <w:lang w:val="en-GB"/>
        </w:rPr>
        <w:t>Revision shall be calculated in accordance with the following formula:</w:t>
      </w:r>
    </w:p>
    <w:p w14:paraId="4D889946" w14:textId="77777777" w:rsidR="00DB0431" w:rsidRPr="00151B5D" w:rsidRDefault="00DB0431" w:rsidP="00DB0431">
      <w:pPr>
        <w:spacing w:before="120" w:after="120"/>
        <w:ind w:left="426"/>
        <w:rPr>
          <w:rFonts w:asciiTheme="minorHAnsi" w:hAnsiTheme="minorHAnsi" w:cstheme="minorHAnsi"/>
          <w:sz w:val="22"/>
          <w:szCs w:val="22"/>
          <w:lang w:val="pt-PT"/>
        </w:rPr>
      </w:pPr>
      <w:r w:rsidRPr="00151B5D">
        <w:rPr>
          <w:rFonts w:asciiTheme="minorHAnsi" w:hAnsiTheme="minorHAnsi" w:cstheme="minorHAnsi"/>
          <w:sz w:val="22"/>
          <w:szCs w:val="22"/>
          <w:lang w:val="pt-PT"/>
        </w:rPr>
        <w:t>Pr = Po x (0,2 + (0,8 x Ir/Io))</w:t>
      </w:r>
    </w:p>
    <w:p w14:paraId="0C6CF81C" w14:textId="77777777" w:rsidR="00DB0431" w:rsidRPr="00CB731B" w:rsidRDefault="00DB0431" w:rsidP="00DB0431">
      <w:pPr>
        <w:spacing w:before="120" w:after="120"/>
        <w:ind w:left="426"/>
        <w:rPr>
          <w:rFonts w:asciiTheme="minorHAnsi" w:hAnsiTheme="minorHAnsi" w:cstheme="minorHAnsi"/>
          <w:sz w:val="22"/>
          <w:szCs w:val="22"/>
          <w:lang w:val="en-GB"/>
        </w:rPr>
      </w:pPr>
      <w:r w:rsidRPr="00CB731B">
        <w:rPr>
          <w:rFonts w:asciiTheme="minorHAnsi" w:hAnsiTheme="minorHAnsi" w:cstheme="minorHAnsi"/>
          <w:sz w:val="22"/>
          <w:szCs w:val="22"/>
          <w:lang w:val="en-GB"/>
        </w:rPr>
        <w:t xml:space="preserve">Where: </w:t>
      </w:r>
    </w:p>
    <w:p w14:paraId="4B77104E" w14:textId="77777777" w:rsidR="00DB0431" w:rsidRPr="00CB731B" w:rsidRDefault="00DB0431" w:rsidP="00DB0431">
      <w:pPr>
        <w:spacing w:before="120" w:after="120"/>
        <w:ind w:left="426"/>
        <w:rPr>
          <w:rFonts w:asciiTheme="minorHAnsi" w:hAnsiTheme="minorHAnsi" w:cstheme="minorHAnsi"/>
          <w:sz w:val="22"/>
          <w:szCs w:val="22"/>
          <w:lang w:val="en-GB"/>
        </w:rPr>
      </w:pPr>
      <w:proofErr w:type="spellStart"/>
      <w:r w:rsidRPr="00CB731B">
        <w:rPr>
          <w:rFonts w:asciiTheme="minorHAnsi" w:hAnsiTheme="minorHAnsi" w:cstheme="minorHAnsi"/>
          <w:sz w:val="22"/>
          <w:szCs w:val="22"/>
          <w:lang w:val="en-GB"/>
        </w:rPr>
        <w:t>Pr</w:t>
      </w:r>
      <w:proofErr w:type="spellEnd"/>
      <w:r w:rsidRPr="00CB731B">
        <w:rPr>
          <w:rFonts w:asciiTheme="minorHAnsi" w:hAnsiTheme="minorHAnsi" w:cstheme="minorHAnsi"/>
          <w:sz w:val="22"/>
          <w:szCs w:val="22"/>
          <w:lang w:val="en-GB"/>
        </w:rPr>
        <w:t xml:space="preserve"> = revised price;</w:t>
      </w:r>
    </w:p>
    <w:p w14:paraId="31B95AC7" w14:textId="77777777" w:rsidR="00DB0431" w:rsidRPr="00CB731B" w:rsidRDefault="00DB0431" w:rsidP="00DB0431">
      <w:pPr>
        <w:spacing w:before="120" w:after="120"/>
        <w:ind w:left="426"/>
        <w:rPr>
          <w:rFonts w:asciiTheme="minorHAnsi" w:hAnsiTheme="minorHAnsi" w:cstheme="minorHAnsi"/>
          <w:sz w:val="22"/>
          <w:szCs w:val="22"/>
          <w:lang w:val="en-GB"/>
        </w:rPr>
      </w:pPr>
      <w:r w:rsidRPr="00CB731B">
        <w:rPr>
          <w:rFonts w:asciiTheme="minorHAnsi" w:hAnsiTheme="minorHAnsi" w:cstheme="minorHAnsi"/>
          <w:sz w:val="22"/>
          <w:szCs w:val="22"/>
          <w:lang w:val="en-GB"/>
        </w:rPr>
        <w:t>Po = price in the original tender;</w:t>
      </w:r>
    </w:p>
    <w:p w14:paraId="52B5E255" w14:textId="77777777" w:rsidR="008C3BAB" w:rsidRDefault="00DB0431" w:rsidP="00DB0431">
      <w:pPr>
        <w:pStyle w:val="ListBullet1"/>
        <w:numPr>
          <w:ilvl w:val="0"/>
          <w:numId w:val="0"/>
        </w:numPr>
        <w:ind w:left="426"/>
        <w:rPr>
          <w:rFonts w:asciiTheme="minorHAnsi" w:hAnsiTheme="minorHAnsi" w:cstheme="minorHAnsi"/>
          <w:sz w:val="22"/>
          <w:szCs w:val="22"/>
          <w:lang w:val="en-GB"/>
        </w:rPr>
      </w:pPr>
      <w:proofErr w:type="spellStart"/>
      <w:r w:rsidRPr="00CB731B">
        <w:rPr>
          <w:rFonts w:asciiTheme="minorHAnsi" w:hAnsiTheme="minorHAnsi" w:cstheme="minorHAnsi"/>
          <w:sz w:val="22"/>
          <w:szCs w:val="22"/>
          <w:lang w:val="en-GB"/>
        </w:rPr>
        <w:t>Ir</w:t>
      </w:r>
      <w:proofErr w:type="spellEnd"/>
      <w:r w:rsidRPr="00CB731B">
        <w:rPr>
          <w:rFonts w:asciiTheme="minorHAnsi" w:hAnsiTheme="minorHAnsi" w:cstheme="minorHAnsi"/>
          <w:sz w:val="22"/>
          <w:szCs w:val="22"/>
          <w:lang w:val="en-GB"/>
        </w:rPr>
        <w:t xml:space="preserve"> = index for the month corresponding to the date of receipt of the letter requesting a revision of prices</w:t>
      </w:r>
      <w:r w:rsidR="008C3BAB">
        <w:rPr>
          <w:rFonts w:asciiTheme="minorHAnsi" w:hAnsiTheme="minorHAnsi" w:cstheme="minorHAnsi"/>
          <w:sz w:val="22"/>
          <w:szCs w:val="22"/>
          <w:lang w:val="en-GB"/>
        </w:rPr>
        <w:t>;</w:t>
      </w:r>
    </w:p>
    <w:p w14:paraId="26B8A81A" w14:textId="5217F353" w:rsidR="00DB0431" w:rsidRPr="00CB731B" w:rsidRDefault="008C3BAB" w:rsidP="00DB0431">
      <w:pPr>
        <w:pStyle w:val="ListBullet1"/>
        <w:numPr>
          <w:ilvl w:val="0"/>
          <w:numId w:val="0"/>
        </w:numPr>
        <w:ind w:left="426"/>
        <w:rPr>
          <w:rFonts w:asciiTheme="minorHAnsi" w:hAnsiTheme="minorHAnsi" w:cs="Arial"/>
          <w:sz w:val="22"/>
          <w:szCs w:val="22"/>
          <w:lang w:val="en-GB"/>
        </w:rPr>
      </w:pPr>
      <w:r w:rsidRPr="00CB731B">
        <w:rPr>
          <w:rFonts w:asciiTheme="minorHAnsi" w:hAnsiTheme="minorHAnsi" w:cstheme="minorHAnsi"/>
          <w:sz w:val="22"/>
          <w:szCs w:val="22"/>
          <w:lang w:val="en-GB"/>
        </w:rPr>
        <w:t>Io = index for the month in which the validity of the tender expires</w:t>
      </w:r>
      <w:r w:rsidR="00DB0431" w:rsidRPr="00CB731B">
        <w:rPr>
          <w:rFonts w:asciiTheme="minorHAnsi" w:hAnsiTheme="minorHAnsi" w:cstheme="minorHAnsi"/>
          <w:sz w:val="22"/>
          <w:szCs w:val="22"/>
          <w:lang w:val="en-GB"/>
        </w:rPr>
        <w:t>.</w:t>
      </w:r>
    </w:p>
    <w:p w14:paraId="1515C364" w14:textId="77777777" w:rsidR="005F1495" w:rsidRPr="00CB731B" w:rsidRDefault="005F1495" w:rsidP="005F1495">
      <w:pPr>
        <w:spacing w:before="120" w:after="120"/>
        <w:rPr>
          <w:rFonts w:asciiTheme="minorHAnsi" w:hAnsiTheme="minorHAnsi" w:cs="Arial"/>
          <w:color w:val="000000"/>
          <w:sz w:val="22"/>
          <w:szCs w:val="22"/>
          <w:lang w:val="en-GB"/>
        </w:rPr>
      </w:pPr>
      <w:r w:rsidRPr="00CB731B">
        <w:rPr>
          <w:rFonts w:asciiTheme="minorHAnsi" w:hAnsiTheme="minorHAnsi" w:cs="Arial"/>
          <w:sz w:val="22"/>
          <w:szCs w:val="22"/>
          <w:lang w:val="en-GB"/>
        </w:rPr>
        <w:t>Under Articles 3 and 4 of the Protocol on the Privileges and Immunities of the European Communities and the Headquarters Agreement between the Agency and the</w:t>
      </w:r>
      <w:r w:rsidRPr="00CB731B">
        <w:rPr>
          <w:rFonts w:asciiTheme="minorHAnsi" w:hAnsiTheme="minorHAnsi" w:cs="Arial"/>
          <w:color w:val="000000"/>
          <w:sz w:val="22"/>
          <w:szCs w:val="22"/>
          <w:lang w:val="en-GB"/>
        </w:rPr>
        <w:t xml:space="preserve"> Government of Denmark of 17 August 1995, the Agency is exempt from all charges, taxes and dues, including value added tax (VAT); such charges may not therefore be included in the calculation of the price quoted; the </w:t>
      </w:r>
      <w:r w:rsidRPr="00CB731B">
        <w:rPr>
          <w:rFonts w:asciiTheme="minorHAnsi" w:hAnsiTheme="minorHAnsi" w:cs="Arial"/>
          <w:b/>
          <w:i/>
          <w:color w:val="000000"/>
          <w:sz w:val="22"/>
          <w:szCs w:val="22"/>
          <w:lang w:val="en-GB"/>
        </w:rPr>
        <w:t>VAT amount must be indicated separately</w:t>
      </w:r>
      <w:r w:rsidRPr="00CB731B">
        <w:rPr>
          <w:rFonts w:asciiTheme="minorHAnsi" w:hAnsiTheme="minorHAnsi" w:cs="Arial"/>
          <w:color w:val="000000"/>
          <w:sz w:val="22"/>
          <w:szCs w:val="22"/>
          <w:lang w:val="en-GB"/>
        </w:rPr>
        <w:t>.</w:t>
      </w:r>
    </w:p>
    <w:p w14:paraId="7EF593EA" w14:textId="77777777" w:rsidR="005F1495" w:rsidRDefault="005F1495" w:rsidP="005F1495">
      <w:pPr>
        <w:pStyle w:val="ListBullet1"/>
        <w:numPr>
          <w:ilvl w:val="0"/>
          <w:numId w:val="0"/>
        </w:numPr>
        <w:tabs>
          <w:tab w:val="num" w:pos="709"/>
        </w:tabs>
        <w:spacing w:before="120" w:after="120"/>
        <w:rPr>
          <w:rFonts w:asciiTheme="minorHAnsi" w:hAnsiTheme="minorHAnsi" w:cs="Arial"/>
          <w:iCs/>
          <w:sz w:val="22"/>
          <w:szCs w:val="22"/>
          <w:lang w:val="en-GB"/>
        </w:rPr>
      </w:pPr>
      <w:r w:rsidRPr="00CB731B">
        <w:rPr>
          <w:rFonts w:asciiTheme="minorHAnsi" w:hAnsiTheme="minorHAnsi" w:cs="Arial"/>
          <w:iCs/>
          <w:sz w:val="22"/>
          <w:szCs w:val="22"/>
          <w:lang w:val="en-GB"/>
        </w:rPr>
        <w:t>The costs incurred in preparing and submitting tenders are borne by the tenderers and cannot be reimbursed.</w:t>
      </w:r>
    </w:p>
    <w:p w14:paraId="14A6EF74" w14:textId="77777777" w:rsidR="00915D8C" w:rsidRDefault="00915D8C" w:rsidP="005F1495">
      <w:pPr>
        <w:pStyle w:val="ListBullet1"/>
        <w:numPr>
          <w:ilvl w:val="0"/>
          <w:numId w:val="0"/>
        </w:numPr>
        <w:rPr>
          <w:rFonts w:asciiTheme="minorHAnsi" w:hAnsiTheme="minorHAnsi" w:cs="Arial"/>
          <w:b/>
          <w:sz w:val="22"/>
          <w:szCs w:val="22"/>
          <w:lang w:val="en-GB"/>
        </w:rPr>
      </w:pPr>
    </w:p>
    <w:p w14:paraId="633CFB1F" w14:textId="77777777" w:rsidR="00915D8C" w:rsidRDefault="00915D8C" w:rsidP="005F1495">
      <w:pPr>
        <w:pStyle w:val="ListBullet1"/>
        <w:numPr>
          <w:ilvl w:val="0"/>
          <w:numId w:val="0"/>
        </w:numPr>
        <w:rPr>
          <w:rFonts w:asciiTheme="minorHAnsi" w:hAnsiTheme="minorHAnsi" w:cs="Arial"/>
          <w:b/>
          <w:sz w:val="22"/>
          <w:szCs w:val="22"/>
          <w:lang w:val="en-GB"/>
        </w:rPr>
      </w:pPr>
    </w:p>
    <w:p w14:paraId="357AC721" w14:textId="77777777" w:rsidR="00915D8C" w:rsidRDefault="00915D8C" w:rsidP="005F1495">
      <w:pPr>
        <w:pStyle w:val="ListBullet1"/>
        <w:numPr>
          <w:ilvl w:val="0"/>
          <w:numId w:val="0"/>
        </w:numPr>
        <w:rPr>
          <w:rFonts w:asciiTheme="minorHAnsi" w:hAnsiTheme="minorHAnsi" w:cs="Arial"/>
          <w:b/>
          <w:sz w:val="22"/>
          <w:szCs w:val="22"/>
          <w:lang w:val="en-GB"/>
        </w:rPr>
      </w:pPr>
    </w:p>
    <w:p w14:paraId="423601EC" w14:textId="77777777" w:rsidR="00915D8C" w:rsidRDefault="00915D8C" w:rsidP="005F1495">
      <w:pPr>
        <w:pStyle w:val="ListBullet1"/>
        <w:numPr>
          <w:ilvl w:val="0"/>
          <w:numId w:val="0"/>
        </w:numPr>
        <w:rPr>
          <w:rFonts w:asciiTheme="minorHAnsi" w:hAnsiTheme="minorHAnsi" w:cs="Arial"/>
          <w:b/>
          <w:sz w:val="22"/>
          <w:szCs w:val="22"/>
          <w:lang w:val="en-GB"/>
        </w:rPr>
      </w:pPr>
    </w:p>
    <w:p w14:paraId="2CF498C5" w14:textId="77777777" w:rsidR="00915D8C" w:rsidRDefault="00915D8C" w:rsidP="005F1495">
      <w:pPr>
        <w:pStyle w:val="ListBullet1"/>
        <w:numPr>
          <w:ilvl w:val="0"/>
          <w:numId w:val="0"/>
        </w:numPr>
        <w:rPr>
          <w:rFonts w:asciiTheme="minorHAnsi" w:hAnsiTheme="minorHAnsi" w:cs="Arial"/>
          <w:b/>
          <w:sz w:val="22"/>
          <w:szCs w:val="22"/>
          <w:lang w:val="en-GB"/>
        </w:rPr>
      </w:pPr>
    </w:p>
    <w:p w14:paraId="3E9595D5" w14:textId="77777777" w:rsidR="00915D8C" w:rsidRDefault="00915D8C" w:rsidP="005F1495">
      <w:pPr>
        <w:pStyle w:val="ListBullet1"/>
        <w:numPr>
          <w:ilvl w:val="0"/>
          <w:numId w:val="0"/>
        </w:numPr>
        <w:rPr>
          <w:rFonts w:asciiTheme="minorHAnsi" w:hAnsiTheme="minorHAnsi" w:cs="Arial"/>
          <w:b/>
          <w:sz w:val="22"/>
          <w:szCs w:val="22"/>
          <w:lang w:val="en-GB"/>
        </w:rPr>
      </w:pPr>
    </w:p>
    <w:p w14:paraId="44F5DD8F" w14:textId="77777777" w:rsidR="005F1495" w:rsidRPr="00CB731B" w:rsidRDefault="005F1495" w:rsidP="005F1495">
      <w:pPr>
        <w:pStyle w:val="ListBullet1"/>
        <w:numPr>
          <w:ilvl w:val="0"/>
          <w:numId w:val="0"/>
        </w:numPr>
        <w:rPr>
          <w:rFonts w:asciiTheme="minorHAnsi" w:hAnsiTheme="minorHAnsi" w:cs="Arial"/>
          <w:b/>
          <w:sz w:val="22"/>
          <w:szCs w:val="22"/>
          <w:lang w:val="en-GB"/>
        </w:rPr>
      </w:pPr>
      <w:r w:rsidRPr="00CB731B">
        <w:rPr>
          <w:rFonts w:asciiTheme="minorHAnsi" w:hAnsiTheme="minorHAnsi" w:cs="Arial"/>
          <w:b/>
          <w:sz w:val="22"/>
          <w:szCs w:val="22"/>
          <w:lang w:val="en-GB"/>
        </w:rPr>
        <w:lastRenderedPageBreak/>
        <w:t>9.</w:t>
      </w:r>
      <w:r w:rsidRPr="00CB731B">
        <w:rPr>
          <w:rFonts w:asciiTheme="minorHAnsi" w:hAnsiTheme="minorHAnsi" w:cs="Arial"/>
          <w:b/>
          <w:sz w:val="22"/>
          <w:szCs w:val="22"/>
          <w:lang w:val="en-GB"/>
        </w:rPr>
        <w:tab/>
        <w:t>Criteria</w:t>
      </w:r>
    </w:p>
    <w:p w14:paraId="274180FB" w14:textId="77777777" w:rsidR="005F1495" w:rsidRPr="00CB731B" w:rsidRDefault="005F1495" w:rsidP="005F1495">
      <w:pPr>
        <w:pStyle w:val="ListBullet1"/>
        <w:numPr>
          <w:ilvl w:val="0"/>
          <w:numId w:val="0"/>
        </w:numPr>
        <w:rPr>
          <w:rFonts w:asciiTheme="minorHAnsi" w:hAnsiTheme="minorHAnsi" w:cs="Arial"/>
          <w:b/>
          <w:i/>
          <w:sz w:val="22"/>
          <w:szCs w:val="22"/>
          <w:lang w:val="en-GB"/>
        </w:rPr>
      </w:pPr>
      <w:r w:rsidRPr="00CB731B">
        <w:rPr>
          <w:rFonts w:asciiTheme="minorHAnsi" w:hAnsiTheme="minorHAnsi" w:cs="Arial"/>
          <w:b/>
          <w:i/>
          <w:sz w:val="22"/>
          <w:szCs w:val="22"/>
          <w:lang w:val="en-GB"/>
        </w:rPr>
        <w:t xml:space="preserve">9.1. </w:t>
      </w:r>
      <w:r w:rsidRPr="00CB731B">
        <w:rPr>
          <w:rFonts w:asciiTheme="minorHAnsi" w:hAnsiTheme="minorHAnsi" w:cs="Arial"/>
          <w:b/>
          <w:i/>
          <w:sz w:val="22"/>
          <w:szCs w:val="22"/>
          <w:lang w:val="en-GB"/>
        </w:rPr>
        <w:tab/>
        <w:t>Exclusion criteria</w:t>
      </w:r>
    </w:p>
    <w:p w14:paraId="16FDE258" w14:textId="77777777" w:rsidR="005F1495" w:rsidRPr="00CB731B" w:rsidRDefault="005F1495" w:rsidP="005F1495">
      <w:pPr>
        <w:pStyle w:val="ListBullet1"/>
        <w:numPr>
          <w:ilvl w:val="0"/>
          <w:numId w:val="0"/>
        </w:numPr>
        <w:outlineLvl w:val="0"/>
        <w:rPr>
          <w:rFonts w:asciiTheme="minorHAnsi" w:hAnsiTheme="minorHAnsi" w:cs="Arial"/>
          <w:sz w:val="22"/>
          <w:szCs w:val="22"/>
          <w:lang w:val="en-GB"/>
        </w:rPr>
      </w:pPr>
      <w:r w:rsidRPr="00CB731B">
        <w:rPr>
          <w:rFonts w:asciiTheme="minorHAnsi" w:hAnsiTheme="minorHAnsi" w:cs="Arial"/>
          <w:b/>
          <w:sz w:val="22"/>
          <w:szCs w:val="22"/>
          <w:lang w:val="en-GB"/>
        </w:rPr>
        <w:t>9.1.1.</w:t>
      </w:r>
      <w:r w:rsidRPr="00CB731B">
        <w:rPr>
          <w:rFonts w:asciiTheme="minorHAnsi" w:hAnsiTheme="minorHAnsi" w:cs="Arial"/>
          <w:b/>
          <w:sz w:val="22"/>
          <w:szCs w:val="22"/>
          <w:lang w:val="en-GB"/>
        </w:rPr>
        <w:tab/>
      </w:r>
      <w:r w:rsidRPr="00CB731B">
        <w:rPr>
          <w:rFonts w:asciiTheme="minorHAnsi" w:hAnsiTheme="minorHAnsi" w:cs="Arial"/>
          <w:sz w:val="22"/>
          <w:szCs w:val="22"/>
          <w:lang w:val="en-GB"/>
        </w:rPr>
        <w:t>Exclusion from participation and award in the procurement procedure</w:t>
      </w:r>
    </w:p>
    <w:p w14:paraId="24E1168C" w14:textId="77777777" w:rsidR="005F1495" w:rsidRPr="00CB731B" w:rsidRDefault="005F1495" w:rsidP="005F1495">
      <w:pPr>
        <w:pStyle w:val="ListBullet1"/>
        <w:numPr>
          <w:ilvl w:val="0"/>
          <w:numId w:val="0"/>
        </w:numPr>
        <w:outlineLvl w:val="0"/>
        <w:rPr>
          <w:rFonts w:asciiTheme="minorHAnsi" w:hAnsiTheme="minorHAnsi" w:cs="Arial"/>
          <w:sz w:val="22"/>
          <w:szCs w:val="22"/>
          <w:lang w:val="en-GB"/>
        </w:rPr>
      </w:pPr>
      <w:r w:rsidRPr="00CB731B">
        <w:rPr>
          <w:rFonts w:asciiTheme="minorHAnsi" w:hAnsiTheme="minorHAnsi" w:cs="Arial"/>
          <w:sz w:val="22"/>
          <w:szCs w:val="22"/>
          <w:lang w:val="en-GB"/>
        </w:rPr>
        <w:t>To be eligible to participate in this contract award procedure, tenderers must not be in any of the exclusion situations referred to in Articles 106 and 107 of the financial rules applicable to the general budget of the European Union</w:t>
      </w:r>
      <w:r w:rsidRPr="00CB731B">
        <w:rPr>
          <w:rStyle w:val="FootnoteReference"/>
          <w:rFonts w:asciiTheme="minorHAnsi" w:hAnsiTheme="minorHAnsi" w:cs="Arial"/>
          <w:sz w:val="22"/>
          <w:szCs w:val="22"/>
          <w:lang w:val="en-GB"/>
        </w:rPr>
        <w:footnoteReference w:id="3"/>
      </w:r>
      <w:r w:rsidRPr="00CB731B">
        <w:rPr>
          <w:rFonts w:asciiTheme="minorHAnsi" w:hAnsiTheme="minorHAnsi" w:cs="Arial"/>
          <w:sz w:val="22"/>
          <w:szCs w:val="22"/>
          <w:lang w:val="en-GB"/>
        </w:rPr>
        <w:t>.</w:t>
      </w:r>
    </w:p>
    <w:p w14:paraId="6A2AC4C2" w14:textId="77777777" w:rsidR="005F1495" w:rsidRPr="00CB731B" w:rsidRDefault="005F1495" w:rsidP="005F1495">
      <w:pPr>
        <w:tabs>
          <w:tab w:val="left" w:pos="720"/>
        </w:tabs>
        <w:spacing w:before="120" w:after="120"/>
        <w:outlineLvl w:val="0"/>
        <w:rPr>
          <w:rFonts w:asciiTheme="minorHAnsi" w:hAnsiTheme="minorHAnsi" w:cs="Arial"/>
          <w:snapToGrid w:val="0"/>
          <w:sz w:val="22"/>
          <w:szCs w:val="22"/>
          <w:lang w:val="en-GB"/>
        </w:rPr>
      </w:pPr>
      <w:r w:rsidRPr="00CB731B">
        <w:rPr>
          <w:rFonts w:asciiTheme="minorHAnsi" w:hAnsiTheme="minorHAnsi" w:cs="Arial"/>
          <w:b/>
          <w:snapToGrid w:val="0"/>
          <w:sz w:val="22"/>
          <w:szCs w:val="22"/>
          <w:lang w:val="en-GB"/>
        </w:rPr>
        <w:t>9.1.2.</w:t>
      </w:r>
      <w:r w:rsidRPr="00CB731B">
        <w:rPr>
          <w:rFonts w:asciiTheme="minorHAnsi" w:hAnsiTheme="minorHAnsi" w:cs="Arial"/>
          <w:snapToGrid w:val="0"/>
          <w:sz w:val="22"/>
          <w:szCs w:val="22"/>
          <w:lang w:val="en-GB"/>
        </w:rPr>
        <w:tab/>
      </w:r>
      <w:r w:rsidRPr="00CB731B">
        <w:rPr>
          <w:rFonts w:asciiTheme="minorHAnsi" w:hAnsiTheme="minorHAnsi" w:cs="Arial"/>
          <w:b/>
          <w:snapToGrid w:val="0"/>
          <w:sz w:val="22"/>
          <w:szCs w:val="22"/>
          <w:lang w:val="en-GB"/>
        </w:rPr>
        <w:t>Evidence to be provided by the tenderers</w:t>
      </w:r>
    </w:p>
    <w:p w14:paraId="05CB46C2" w14:textId="77777777" w:rsidR="005F1495" w:rsidRPr="00CB731B"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iCs/>
          <w:sz w:val="22"/>
          <w:szCs w:val="22"/>
          <w:lang w:val="en-GB"/>
        </w:rPr>
        <w:t xml:space="preserve">When submitting their bids, each tenderer (including any subcontractor or any member of a consortium) must </w:t>
      </w:r>
      <w:r w:rsidRPr="00CB731B">
        <w:rPr>
          <w:rFonts w:asciiTheme="minorHAnsi" w:hAnsiTheme="minorHAnsi" w:cs="Arial"/>
          <w:sz w:val="22"/>
          <w:szCs w:val="22"/>
          <w:lang w:val="en-GB"/>
        </w:rPr>
        <w:t xml:space="preserve">provide a declaration on their honour in accordance with the form attached as annex 2, duly signed and dated, stating that they are not in any of the situations mentioned under paragraph 9.1.1 above. </w:t>
      </w:r>
    </w:p>
    <w:p w14:paraId="626632C0"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The tenderer to whom the contract is to be awarded will be required, prior to the signature of the contract, to provide the evidence specified in the penultimate paragraph of the declaration of honour mentioned above (see annex 2). </w:t>
      </w:r>
    </w:p>
    <w:p w14:paraId="05B5EB63" w14:textId="77777777" w:rsidR="005F1495" w:rsidRPr="00CB731B" w:rsidRDefault="005F1495" w:rsidP="005F1495">
      <w:pPr>
        <w:pStyle w:val="ListBullet1"/>
        <w:numPr>
          <w:ilvl w:val="0"/>
          <w:numId w:val="0"/>
        </w:numPr>
        <w:spacing w:before="120" w:after="120"/>
        <w:rPr>
          <w:rFonts w:asciiTheme="minorHAnsi" w:hAnsiTheme="minorHAnsi" w:cs="Arial"/>
          <w:b/>
          <w:i/>
          <w:sz w:val="22"/>
          <w:szCs w:val="22"/>
          <w:lang w:val="en-GB"/>
        </w:rPr>
      </w:pPr>
      <w:r w:rsidRPr="00CB731B">
        <w:rPr>
          <w:rFonts w:asciiTheme="minorHAnsi" w:hAnsiTheme="minorHAnsi" w:cs="Arial"/>
          <w:b/>
          <w:i/>
          <w:sz w:val="22"/>
          <w:szCs w:val="22"/>
          <w:lang w:val="en-GB"/>
        </w:rPr>
        <w:t>9.2.</w:t>
      </w:r>
      <w:r w:rsidRPr="00CB731B">
        <w:rPr>
          <w:rFonts w:asciiTheme="minorHAnsi" w:hAnsiTheme="minorHAnsi" w:cs="Arial"/>
          <w:b/>
          <w:i/>
          <w:sz w:val="22"/>
          <w:szCs w:val="22"/>
          <w:lang w:val="en-GB"/>
        </w:rPr>
        <w:tab/>
        <w:t>Selection criteria</w:t>
      </w:r>
    </w:p>
    <w:p w14:paraId="2F13DD34" w14:textId="77777777" w:rsidR="005F1495" w:rsidRPr="00CB731B" w:rsidRDefault="005F1495" w:rsidP="005F1495">
      <w:pPr>
        <w:pStyle w:val="ListBullet1"/>
        <w:numPr>
          <w:ilvl w:val="0"/>
          <w:numId w:val="0"/>
        </w:numPr>
        <w:spacing w:before="120" w:after="120"/>
        <w:outlineLvl w:val="0"/>
        <w:rPr>
          <w:rFonts w:asciiTheme="minorHAnsi" w:hAnsiTheme="minorHAnsi" w:cs="Arial"/>
          <w:b/>
          <w:bCs/>
          <w:sz w:val="22"/>
          <w:szCs w:val="22"/>
          <w:lang w:val="en-GB"/>
        </w:rPr>
      </w:pPr>
      <w:r w:rsidRPr="00CB731B">
        <w:rPr>
          <w:rFonts w:asciiTheme="minorHAnsi" w:hAnsiTheme="minorHAnsi" w:cs="Arial"/>
          <w:b/>
          <w:bCs/>
          <w:sz w:val="22"/>
          <w:szCs w:val="22"/>
          <w:lang w:val="en-GB"/>
        </w:rPr>
        <w:t>9.2.1.</w:t>
      </w:r>
      <w:r w:rsidRPr="00CB731B">
        <w:rPr>
          <w:rFonts w:asciiTheme="minorHAnsi" w:hAnsiTheme="minorHAnsi" w:cs="Arial"/>
          <w:b/>
          <w:bCs/>
          <w:sz w:val="22"/>
          <w:szCs w:val="22"/>
          <w:lang w:val="en-GB"/>
        </w:rPr>
        <w:tab/>
        <w:t>Legal capacity</w:t>
      </w:r>
    </w:p>
    <w:p w14:paraId="2819DC20" w14:textId="77777777" w:rsidR="005F1495" w:rsidRPr="00CB731B" w:rsidRDefault="005F1495" w:rsidP="005F1495">
      <w:pPr>
        <w:pStyle w:val="ListBullet1"/>
        <w:numPr>
          <w:ilvl w:val="0"/>
          <w:numId w:val="0"/>
        </w:numPr>
        <w:tabs>
          <w:tab w:val="left" w:pos="851"/>
        </w:tabs>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Any tenderer is required to prove that he is authorised to perform the contract under national law, as evidenced by inclusion in a trade or professional register, or a sworn declaration or certificate, membership of a specific organisation, express authorisation, or entry in the VAT register. </w:t>
      </w:r>
    </w:p>
    <w:p w14:paraId="031E6F00" w14:textId="77777777" w:rsidR="005F1495" w:rsidRPr="00CB731B" w:rsidRDefault="005F1495" w:rsidP="005F1495">
      <w:pPr>
        <w:pStyle w:val="ListBullet1"/>
        <w:numPr>
          <w:ilvl w:val="0"/>
          <w:numId w:val="0"/>
        </w:numPr>
        <w:tabs>
          <w:tab w:val="left" w:pos="851"/>
        </w:tabs>
        <w:spacing w:before="120" w:after="120"/>
        <w:rPr>
          <w:rFonts w:asciiTheme="minorHAnsi" w:hAnsiTheme="minorHAnsi" w:cs="Arial"/>
          <w:sz w:val="22"/>
          <w:szCs w:val="22"/>
          <w:lang w:val="en-GB"/>
        </w:rPr>
      </w:pPr>
      <w:r w:rsidRPr="00CB731B">
        <w:rPr>
          <w:rFonts w:asciiTheme="minorHAnsi" w:hAnsiTheme="minorHAnsi" w:cs="Arial"/>
          <w:sz w:val="22"/>
          <w:szCs w:val="22"/>
          <w:lang w:val="en-GB"/>
        </w:rPr>
        <w:t>To that effect, each service provider (including subcontractor(s) or any member of a consortium) is required to submit a legal entity form (see annex 3) duly filled out and signed, accompanied by a copy of inscription in trade register and/or a copy of inscription in VAT register, where applicable. However the subcontractor(s) shall not be required to fill out or provide those documents when the services provided represent less than 20 % of the contract.</w:t>
      </w:r>
    </w:p>
    <w:p w14:paraId="41950F64" w14:textId="77777777" w:rsidR="005F1495" w:rsidRPr="00CB731B" w:rsidRDefault="005F1495" w:rsidP="005F1495">
      <w:pPr>
        <w:pStyle w:val="ListBullet1"/>
        <w:numPr>
          <w:ilvl w:val="0"/>
          <w:numId w:val="0"/>
        </w:numPr>
        <w:tabs>
          <w:tab w:val="left" w:pos="851"/>
        </w:tabs>
        <w:spacing w:before="120" w:after="120"/>
        <w:outlineLvl w:val="0"/>
        <w:rPr>
          <w:rFonts w:asciiTheme="minorHAnsi" w:hAnsiTheme="minorHAnsi" w:cs="Arial"/>
          <w:b/>
          <w:sz w:val="22"/>
          <w:szCs w:val="22"/>
          <w:lang w:val="en-GB"/>
        </w:rPr>
      </w:pPr>
      <w:r w:rsidRPr="00CB731B">
        <w:rPr>
          <w:rFonts w:asciiTheme="minorHAnsi" w:hAnsiTheme="minorHAnsi" w:cs="Arial"/>
          <w:b/>
          <w:sz w:val="22"/>
          <w:szCs w:val="22"/>
          <w:lang w:val="en-GB"/>
        </w:rPr>
        <w:t>9.2.2.</w:t>
      </w:r>
      <w:r w:rsidRPr="00CB731B">
        <w:rPr>
          <w:rFonts w:asciiTheme="minorHAnsi" w:hAnsiTheme="minorHAnsi" w:cs="Arial"/>
          <w:b/>
          <w:sz w:val="22"/>
          <w:szCs w:val="22"/>
          <w:lang w:val="en-GB"/>
        </w:rPr>
        <w:tab/>
        <w:t>Economic and financial capacity</w:t>
      </w:r>
    </w:p>
    <w:p w14:paraId="0E7C589C" w14:textId="77777777" w:rsidR="005F1495" w:rsidRPr="00CB731B" w:rsidRDefault="005F1495" w:rsidP="005F1495">
      <w:pPr>
        <w:pStyle w:val="ListBullet1"/>
        <w:numPr>
          <w:ilvl w:val="0"/>
          <w:numId w:val="0"/>
        </w:numPr>
        <w:tabs>
          <w:tab w:val="left" w:pos="851"/>
        </w:tabs>
        <w:spacing w:before="120" w:after="120"/>
        <w:rPr>
          <w:rFonts w:asciiTheme="minorHAnsi" w:hAnsiTheme="minorHAnsi" w:cs="Arial"/>
          <w:sz w:val="22"/>
          <w:szCs w:val="22"/>
          <w:lang w:val="en-GB"/>
        </w:rPr>
      </w:pPr>
      <w:r w:rsidRPr="00CB731B">
        <w:rPr>
          <w:rFonts w:asciiTheme="minorHAnsi" w:hAnsiTheme="minorHAnsi" w:cs="Arial"/>
          <w:sz w:val="22"/>
          <w:szCs w:val="22"/>
          <w:lang w:val="en-GB"/>
        </w:rPr>
        <w:t>Evidence of economic and financial capacity shall be furnished by one</w:t>
      </w:r>
      <w:r w:rsidRPr="00CB731B">
        <w:rPr>
          <w:rFonts w:asciiTheme="minorHAnsi" w:hAnsiTheme="minorHAnsi" w:cs="Arial"/>
          <w:b/>
          <w:sz w:val="22"/>
          <w:szCs w:val="22"/>
          <w:lang w:val="en-GB"/>
        </w:rPr>
        <w:t xml:space="preserve"> (or more) </w:t>
      </w:r>
      <w:r w:rsidRPr="00CB731B">
        <w:rPr>
          <w:rFonts w:asciiTheme="minorHAnsi" w:hAnsiTheme="minorHAnsi" w:cs="Arial"/>
          <w:sz w:val="22"/>
          <w:szCs w:val="22"/>
          <w:lang w:val="en-GB"/>
        </w:rPr>
        <w:t>of the following documents:</w:t>
      </w:r>
    </w:p>
    <w:p w14:paraId="536004A7" w14:textId="77777777" w:rsidR="005F1495" w:rsidRPr="00CB731B" w:rsidRDefault="005F1495" w:rsidP="005F1495">
      <w:pPr>
        <w:pStyle w:val="ListBullet1"/>
        <w:numPr>
          <w:ilvl w:val="0"/>
          <w:numId w:val="2"/>
        </w:numPr>
        <w:tabs>
          <w:tab w:val="left" w:pos="851"/>
        </w:tabs>
        <w:spacing w:before="120" w:after="120"/>
        <w:rPr>
          <w:rFonts w:asciiTheme="minorHAnsi" w:hAnsiTheme="minorHAnsi" w:cs="Arial"/>
          <w:sz w:val="22"/>
          <w:szCs w:val="22"/>
          <w:lang w:val="en-GB"/>
        </w:rPr>
      </w:pPr>
      <w:r w:rsidRPr="00CB731B">
        <w:rPr>
          <w:rFonts w:asciiTheme="minorHAnsi" w:hAnsiTheme="minorHAnsi" w:cs="Arial"/>
          <w:sz w:val="22"/>
          <w:szCs w:val="22"/>
          <w:lang w:val="en-GB"/>
        </w:rPr>
        <w:t>appropriate statements from banks or evidence of professional risk indemnity insurance; OR</w:t>
      </w:r>
    </w:p>
    <w:p w14:paraId="259F6C69" w14:textId="77777777" w:rsidR="005F1495" w:rsidRPr="00CB731B" w:rsidRDefault="005F1495" w:rsidP="005F1495">
      <w:pPr>
        <w:pStyle w:val="ListBullet1"/>
        <w:numPr>
          <w:ilvl w:val="0"/>
          <w:numId w:val="2"/>
        </w:numPr>
        <w:tabs>
          <w:tab w:val="left" w:pos="851"/>
        </w:tabs>
        <w:spacing w:before="120" w:after="120"/>
        <w:rPr>
          <w:rFonts w:asciiTheme="minorHAnsi" w:hAnsiTheme="minorHAnsi" w:cs="Arial"/>
          <w:sz w:val="22"/>
          <w:szCs w:val="22"/>
          <w:lang w:val="en-GB"/>
        </w:rPr>
      </w:pPr>
      <w:r w:rsidRPr="00CB731B">
        <w:rPr>
          <w:rFonts w:asciiTheme="minorHAnsi" w:hAnsiTheme="minorHAnsi" w:cs="Arial"/>
          <w:sz w:val="22"/>
          <w:szCs w:val="22"/>
          <w:lang w:val="en-GB"/>
        </w:rPr>
        <w:t>the presentation of balance sheets or extracts from balance sheets for at least the last 2 (two) years for which account have been closed, where publication of the balance sheet is required under the company law of the country in which the economic operator is established; OR</w:t>
      </w:r>
    </w:p>
    <w:p w14:paraId="700EC7A4" w14:textId="77777777" w:rsidR="005F1495" w:rsidRPr="00CB731B" w:rsidRDefault="005F1495" w:rsidP="005F1495">
      <w:pPr>
        <w:pStyle w:val="ListBullet1"/>
        <w:numPr>
          <w:ilvl w:val="0"/>
          <w:numId w:val="2"/>
        </w:numPr>
        <w:tabs>
          <w:tab w:val="left" w:pos="851"/>
        </w:tabs>
        <w:spacing w:before="120" w:after="120"/>
        <w:rPr>
          <w:rFonts w:asciiTheme="minorHAnsi" w:hAnsiTheme="minorHAnsi" w:cs="Arial"/>
          <w:sz w:val="22"/>
          <w:szCs w:val="22"/>
          <w:lang w:val="en-GB"/>
        </w:rPr>
      </w:pPr>
      <w:proofErr w:type="gramStart"/>
      <w:r w:rsidRPr="00CB731B">
        <w:rPr>
          <w:rFonts w:asciiTheme="minorHAnsi" w:hAnsiTheme="minorHAnsi" w:cs="Arial"/>
          <w:sz w:val="22"/>
          <w:szCs w:val="22"/>
          <w:lang w:val="en-GB"/>
        </w:rPr>
        <w:lastRenderedPageBreak/>
        <w:t>a</w:t>
      </w:r>
      <w:proofErr w:type="gramEnd"/>
      <w:r w:rsidRPr="00CB731B">
        <w:rPr>
          <w:rFonts w:asciiTheme="minorHAnsi" w:hAnsiTheme="minorHAnsi" w:cs="Arial"/>
          <w:sz w:val="22"/>
          <w:szCs w:val="22"/>
          <w:lang w:val="en-GB"/>
        </w:rPr>
        <w:t xml:space="preserve"> statement of overall turnover and turnover concerning the services covered by the contract during the last 2 (two) financial years.</w:t>
      </w:r>
    </w:p>
    <w:p w14:paraId="020DD412" w14:textId="77777777" w:rsidR="005F1495" w:rsidRPr="00CB731B" w:rsidRDefault="005F1495" w:rsidP="005F1495">
      <w:pPr>
        <w:pStyle w:val="ListBullet1"/>
        <w:numPr>
          <w:ilvl w:val="0"/>
          <w:numId w:val="0"/>
        </w:numPr>
        <w:tabs>
          <w:tab w:val="left" w:pos="851"/>
        </w:tabs>
        <w:spacing w:before="120" w:after="120"/>
        <w:rPr>
          <w:rFonts w:asciiTheme="minorHAnsi" w:hAnsiTheme="minorHAnsi" w:cs="Arial"/>
          <w:sz w:val="22"/>
          <w:szCs w:val="22"/>
          <w:lang w:val="en-GB"/>
        </w:rPr>
      </w:pPr>
      <w:r w:rsidRPr="00CB731B">
        <w:rPr>
          <w:rFonts w:asciiTheme="minorHAnsi" w:hAnsiTheme="minorHAnsi" w:cs="Arial"/>
          <w:sz w:val="22"/>
          <w:szCs w:val="22"/>
          <w:lang w:val="en-GB"/>
        </w:rPr>
        <w:t>If, for some exceptional reason, which the EEA considers justified, a tenderer is unable to provide the references requested above, he may prove his economic and financial capacity by any other means which the EEA considers appropriate.</w:t>
      </w:r>
    </w:p>
    <w:p w14:paraId="678D62D2" w14:textId="77777777" w:rsidR="005F1495" w:rsidRPr="00915094" w:rsidRDefault="005F1495" w:rsidP="005F1495">
      <w:pPr>
        <w:pStyle w:val="ListBullet1"/>
        <w:numPr>
          <w:ilvl w:val="0"/>
          <w:numId w:val="0"/>
        </w:numPr>
        <w:tabs>
          <w:tab w:val="left" w:pos="851"/>
        </w:tabs>
        <w:spacing w:before="120" w:after="120"/>
        <w:rPr>
          <w:rFonts w:asciiTheme="minorHAnsi" w:hAnsiTheme="minorHAnsi" w:cs="Arial"/>
          <w:sz w:val="22"/>
          <w:szCs w:val="22"/>
          <w:lang w:val="en-GB"/>
        </w:rPr>
      </w:pPr>
      <w:r w:rsidRPr="00CB731B">
        <w:rPr>
          <w:rFonts w:asciiTheme="minorHAnsi" w:hAnsiTheme="minorHAnsi" w:cs="Arial"/>
          <w:sz w:val="22"/>
          <w:szCs w:val="22"/>
          <w:lang w:val="en-GB"/>
        </w:rPr>
        <w:t>An economic operator may, where appropriate and for a particular contract, rely on the capacities of other entities, regardless of the legal nature of the links which it has with them. It must in that case prove to the EEA that it will have at its disposal the resources necessary for performance of the contract, for example by producing an undertaking on the part of those entities to place those resources at its disposal.</w:t>
      </w:r>
    </w:p>
    <w:p w14:paraId="3614F98B" w14:textId="77777777" w:rsidR="005F1495" w:rsidRPr="00915094" w:rsidRDefault="005F1495" w:rsidP="005F1495">
      <w:pPr>
        <w:pStyle w:val="ListBullet1"/>
        <w:numPr>
          <w:ilvl w:val="0"/>
          <w:numId w:val="0"/>
        </w:numPr>
        <w:spacing w:before="120" w:after="120"/>
        <w:outlineLvl w:val="0"/>
        <w:rPr>
          <w:rFonts w:asciiTheme="minorHAnsi" w:hAnsiTheme="minorHAnsi" w:cs="Arial"/>
          <w:b/>
          <w:bCs/>
          <w:sz w:val="22"/>
          <w:szCs w:val="22"/>
          <w:lang w:val="en-GB"/>
        </w:rPr>
      </w:pPr>
      <w:r w:rsidRPr="00915094">
        <w:rPr>
          <w:rFonts w:asciiTheme="minorHAnsi" w:hAnsiTheme="minorHAnsi" w:cs="Arial"/>
          <w:b/>
          <w:bCs/>
          <w:sz w:val="22"/>
          <w:szCs w:val="22"/>
          <w:lang w:val="en-GB"/>
        </w:rPr>
        <w:t>9.2.3.</w:t>
      </w:r>
      <w:r w:rsidRPr="00915094">
        <w:rPr>
          <w:rFonts w:asciiTheme="minorHAnsi" w:hAnsiTheme="minorHAnsi" w:cs="Arial"/>
          <w:b/>
          <w:bCs/>
          <w:sz w:val="22"/>
          <w:szCs w:val="22"/>
          <w:lang w:val="en-GB"/>
        </w:rPr>
        <w:tab/>
        <w:t>Technical and professional capacity</w:t>
      </w:r>
    </w:p>
    <w:p w14:paraId="5DB61F83" w14:textId="2934E5EA" w:rsidR="00AD6668" w:rsidRPr="00413400" w:rsidRDefault="005F1495" w:rsidP="009A5C89">
      <w:pPr>
        <w:pStyle w:val="ListBullet1"/>
        <w:numPr>
          <w:ilvl w:val="0"/>
          <w:numId w:val="0"/>
        </w:numPr>
        <w:spacing w:before="120" w:after="120"/>
        <w:rPr>
          <w:rFonts w:asciiTheme="minorHAnsi" w:hAnsiTheme="minorHAnsi" w:cs="Arial"/>
          <w:iCs/>
          <w:sz w:val="22"/>
          <w:szCs w:val="22"/>
          <w:lang w:val="en-GB"/>
        </w:rPr>
      </w:pPr>
      <w:r w:rsidRPr="00CB731B">
        <w:rPr>
          <w:rFonts w:asciiTheme="minorHAnsi" w:hAnsiTheme="minorHAnsi" w:cs="Arial"/>
          <w:iCs/>
          <w:sz w:val="22"/>
          <w:szCs w:val="22"/>
          <w:lang w:val="en-GB"/>
        </w:rPr>
        <w:t xml:space="preserve">Tenderers should show their degree of technical and professional capacity to </w:t>
      </w:r>
      <w:r w:rsidR="00143FEA">
        <w:rPr>
          <w:rFonts w:asciiTheme="minorHAnsi" w:hAnsiTheme="minorHAnsi" w:cs="Arial"/>
          <w:iCs/>
          <w:sz w:val="22"/>
          <w:szCs w:val="22"/>
          <w:lang w:val="en-GB"/>
        </w:rPr>
        <w:t>provide</w:t>
      </w:r>
      <w:r w:rsidRPr="00CB731B">
        <w:rPr>
          <w:rFonts w:asciiTheme="minorHAnsi" w:hAnsiTheme="minorHAnsi" w:cs="Arial"/>
          <w:iCs/>
          <w:sz w:val="22"/>
          <w:szCs w:val="22"/>
          <w:lang w:val="en-GB"/>
        </w:rPr>
        <w:t xml:space="preserve"> the requested </w:t>
      </w:r>
      <w:r w:rsidR="00143FEA">
        <w:rPr>
          <w:rFonts w:asciiTheme="minorHAnsi" w:hAnsiTheme="minorHAnsi" w:cs="Arial"/>
          <w:iCs/>
          <w:sz w:val="22"/>
          <w:szCs w:val="22"/>
          <w:lang w:val="en-GB"/>
        </w:rPr>
        <w:t>service</w:t>
      </w:r>
      <w:r w:rsidR="00143FEA" w:rsidRPr="00CB731B">
        <w:rPr>
          <w:rFonts w:asciiTheme="minorHAnsi" w:hAnsiTheme="minorHAnsi" w:cs="Arial"/>
          <w:iCs/>
          <w:sz w:val="22"/>
          <w:szCs w:val="22"/>
          <w:lang w:val="en-GB"/>
        </w:rPr>
        <w:t xml:space="preserve">s </w:t>
      </w:r>
      <w:r w:rsidR="006903C4" w:rsidRPr="00CB731B">
        <w:rPr>
          <w:rFonts w:asciiTheme="minorHAnsi" w:hAnsiTheme="minorHAnsi" w:cs="Arial"/>
          <w:iCs/>
          <w:sz w:val="22"/>
          <w:szCs w:val="22"/>
          <w:lang w:val="en-GB"/>
        </w:rPr>
        <w:t>as mentioned in section 6</w:t>
      </w:r>
      <w:r w:rsidR="00143FEA">
        <w:rPr>
          <w:rFonts w:asciiTheme="minorHAnsi" w:hAnsiTheme="minorHAnsi" w:cs="Arial"/>
          <w:iCs/>
          <w:sz w:val="22"/>
          <w:szCs w:val="22"/>
          <w:lang w:val="en-GB"/>
        </w:rPr>
        <w:t>.2</w:t>
      </w:r>
      <w:r w:rsidR="006903C4" w:rsidRPr="00CB731B">
        <w:rPr>
          <w:rFonts w:asciiTheme="minorHAnsi" w:hAnsiTheme="minorHAnsi" w:cs="Arial"/>
          <w:iCs/>
          <w:sz w:val="22"/>
          <w:szCs w:val="22"/>
          <w:lang w:val="en-GB"/>
        </w:rPr>
        <w:t xml:space="preserve"> above</w:t>
      </w:r>
      <w:r w:rsidRPr="00CB731B">
        <w:rPr>
          <w:rFonts w:asciiTheme="minorHAnsi" w:hAnsiTheme="minorHAnsi" w:cs="Arial"/>
          <w:iCs/>
          <w:sz w:val="22"/>
          <w:szCs w:val="22"/>
          <w:lang w:val="en-GB"/>
        </w:rPr>
        <w:t xml:space="preserve"> by providing information on the criteria</w:t>
      </w:r>
      <w:r w:rsidR="00D15DB4" w:rsidRPr="00CB731B">
        <w:rPr>
          <w:rFonts w:asciiTheme="minorHAnsi" w:hAnsiTheme="minorHAnsi" w:cs="Arial"/>
          <w:iCs/>
          <w:sz w:val="22"/>
          <w:szCs w:val="22"/>
          <w:lang w:val="en-GB"/>
        </w:rPr>
        <w:t xml:space="preserve"> </w:t>
      </w:r>
      <w:r w:rsidR="00D15DB4" w:rsidRPr="00413400">
        <w:rPr>
          <w:rFonts w:asciiTheme="minorHAnsi" w:hAnsiTheme="minorHAnsi" w:cs="Arial"/>
          <w:iCs/>
          <w:sz w:val="22"/>
          <w:szCs w:val="22"/>
          <w:lang w:val="en-GB"/>
        </w:rPr>
        <w:t>described below</w:t>
      </w:r>
      <w:r w:rsidR="006903C4" w:rsidRPr="00413400">
        <w:rPr>
          <w:rFonts w:asciiTheme="minorHAnsi" w:hAnsiTheme="minorHAnsi" w:cs="Arial"/>
          <w:iCs/>
          <w:sz w:val="22"/>
          <w:szCs w:val="22"/>
          <w:lang w:val="en-GB"/>
        </w:rPr>
        <w:t>.</w:t>
      </w:r>
    </w:p>
    <w:p w14:paraId="2EE3D283" w14:textId="77777777" w:rsidR="005F1495" w:rsidRPr="00413400" w:rsidRDefault="005F1495" w:rsidP="00AD6668">
      <w:pPr>
        <w:pStyle w:val="ListBullet1"/>
        <w:numPr>
          <w:ilvl w:val="0"/>
          <w:numId w:val="0"/>
        </w:numPr>
        <w:spacing w:before="120" w:after="120"/>
        <w:rPr>
          <w:rFonts w:asciiTheme="minorHAnsi" w:hAnsiTheme="minorHAnsi" w:cs="Arial"/>
          <w:iCs/>
          <w:sz w:val="22"/>
          <w:szCs w:val="22"/>
          <w:lang w:val="en-GB"/>
        </w:rPr>
      </w:pPr>
      <w:r w:rsidRPr="00413400">
        <w:rPr>
          <w:rFonts w:asciiTheme="minorHAnsi" w:hAnsiTheme="minorHAnsi" w:cs="Arial"/>
          <w:iCs/>
          <w:sz w:val="22"/>
          <w:szCs w:val="22"/>
          <w:lang w:val="en-GB"/>
        </w:rPr>
        <w:t>If several service providers or subcontractors are involved in the tender, the selection criteria for the technical and professional capacity will be assessed in relation to the combined capacities of the service providers and subcontractors, as a whole, to the extent that service providers or subcontractors put their resources at the disposal of the tenderer f</w:t>
      </w:r>
      <w:r w:rsidR="00413400" w:rsidRPr="00413400">
        <w:rPr>
          <w:rFonts w:asciiTheme="minorHAnsi" w:hAnsiTheme="minorHAnsi" w:cs="Arial"/>
          <w:iCs/>
          <w:sz w:val="22"/>
          <w:szCs w:val="22"/>
          <w:lang w:val="en-GB"/>
        </w:rPr>
        <w:t>or performance of the contract.</w:t>
      </w:r>
    </w:p>
    <w:p w14:paraId="750FB0F8" w14:textId="77777777" w:rsidR="005F1495" w:rsidRPr="00413400" w:rsidRDefault="005F1495" w:rsidP="005F1495">
      <w:pPr>
        <w:pStyle w:val="ListBullet1"/>
        <w:numPr>
          <w:ilvl w:val="0"/>
          <w:numId w:val="0"/>
        </w:numPr>
        <w:spacing w:before="120" w:after="120"/>
        <w:outlineLvl w:val="0"/>
        <w:rPr>
          <w:rFonts w:asciiTheme="minorHAnsi" w:hAnsiTheme="minorHAnsi" w:cs="Arial"/>
          <w:iCs/>
          <w:sz w:val="22"/>
          <w:szCs w:val="22"/>
          <w:lang w:val="en-GB"/>
        </w:rPr>
      </w:pPr>
      <w:r w:rsidRPr="00413400">
        <w:rPr>
          <w:rFonts w:asciiTheme="minorHAnsi" w:hAnsiTheme="minorHAnsi" w:cs="Arial"/>
          <w:iCs/>
          <w:sz w:val="22"/>
          <w:szCs w:val="22"/>
          <w:lang w:val="en-GB"/>
        </w:rPr>
        <w:t>Tenderers shall provide the following documentation:</w:t>
      </w:r>
    </w:p>
    <w:p w14:paraId="760521F0" w14:textId="77777777" w:rsidR="005F1495" w:rsidRPr="00CB731B" w:rsidRDefault="005F1495" w:rsidP="005F1495">
      <w:pPr>
        <w:pStyle w:val="ListBullet1"/>
        <w:numPr>
          <w:ilvl w:val="0"/>
          <w:numId w:val="12"/>
        </w:numPr>
        <w:spacing w:before="120" w:after="120"/>
        <w:ind w:hanging="720"/>
        <w:outlineLvl w:val="0"/>
        <w:rPr>
          <w:rFonts w:asciiTheme="minorHAnsi" w:hAnsiTheme="minorHAnsi" w:cs="Arial"/>
          <w:b/>
          <w:i/>
          <w:iCs/>
          <w:sz w:val="22"/>
          <w:szCs w:val="22"/>
          <w:lang w:val="en-GB"/>
        </w:rPr>
      </w:pPr>
      <w:r w:rsidRPr="00CB731B">
        <w:rPr>
          <w:rFonts w:asciiTheme="minorHAnsi" w:hAnsiTheme="minorHAnsi" w:cs="Arial"/>
          <w:b/>
          <w:i/>
          <w:iCs/>
          <w:sz w:val="22"/>
          <w:szCs w:val="22"/>
          <w:lang w:val="en-GB"/>
        </w:rPr>
        <w:t>Human resources:</w:t>
      </w:r>
    </w:p>
    <w:p w14:paraId="3DF3DA2A"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CVs detailing the educational and professional qualifications of the firm's managerial staff as well as those of the </w:t>
      </w:r>
      <w:r w:rsidR="00D301B2">
        <w:rPr>
          <w:rFonts w:asciiTheme="minorHAnsi" w:hAnsiTheme="minorHAnsi" w:cs="Arial"/>
          <w:sz w:val="22"/>
          <w:szCs w:val="22"/>
          <w:lang w:val="en-GB"/>
        </w:rPr>
        <w:t xml:space="preserve">consultants </w:t>
      </w:r>
      <w:r w:rsidRPr="00CB731B">
        <w:rPr>
          <w:rFonts w:asciiTheme="minorHAnsi" w:hAnsiTheme="minorHAnsi" w:cs="Arial"/>
          <w:sz w:val="22"/>
          <w:szCs w:val="22"/>
          <w:lang w:val="en-GB"/>
        </w:rPr>
        <w:t>designated to provide the services indicating the required professional experience as follows:</w:t>
      </w:r>
    </w:p>
    <w:p w14:paraId="4F055F57" w14:textId="77777777" w:rsidR="005F1495" w:rsidRPr="00CB731B" w:rsidRDefault="005F1495" w:rsidP="005F1495">
      <w:pPr>
        <w:pStyle w:val="ListBullet1"/>
        <w:numPr>
          <w:ilvl w:val="0"/>
          <w:numId w:val="6"/>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Managerial staff: Minimum </w:t>
      </w:r>
      <w:r w:rsidR="000217D3" w:rsidRPr="00CB731B">
        <w:rPr>
          <w:rFonts w:asciiTheme="minorHAnsi" w:hAnsiTheme="minorHAnsi" w:cs="Arial"/>
          <w:sz w:val="22"/>
          <w:szCs w:val="22"/>
          <w:lang w:val="en-GB"/>
        </w:rPr>
        <w:t>2 (two</w:t>
      </w:r>
      <w:r w:rsidR="00AA4DB5" w:rsidRPr="00CB731B">
        <w:rPr>
          <w:rFonts w:asciiTheme="minorHAnsi" w:hAnsiTheme="minorHAnsi" w:cs="Arial"/>
          <w:sz w:val="22"/>
          <w:szCs w:val="22"/>
          <w:lang w:val="en-GB"/>
        </w:rPr>
        <w:t>)</w:t>
      </w:r>
      <w:r w:rsidRPr="00CB731B">
        <w:rPr>
          <w:rFonts w:asciiTheme="minorHAnsi" w:hAnsiTheme="minorHAnsi" w:cs="Arial"/>
          <w:sz w:val="22"/>
          <w:szCs w:val="22"/>
          <w:lang w:val="en-GB"/>
        </w:rPr>
        <w:t xml:space="preserve"> CV</w:t>
      </w:r>
      <w:r w:rsidR="00AA4DB5" w:rsidRPr="00CB731B">
        <w:rPr>
          <w:rFonts w:asciiTheme="minorHAnsi" w:hAnsiTheme="minorHAnsi" w:cs="Arial"/>
          <w:sz w:val="22"/>
          <w:szCs w:val="22"/>
          <w:lang w:val="en-GB"/>
        </w:rPr>
        <w:t>s</w:t>
      </w:r>
      <w:r w:rsidRPr="00CB731B">
        <w:rPr>
          <w:rFonts w:asciiTheme="minorHAnsi" w:hAnsiTheme="minorHAnsi" w:cs="Arial"/>
          <w:sz w:val="22"/>
          <w:szCs w:val="22"/>
          <w:lang w:val="en-GB"/>
        </w:rPr>
        <w:t xml:space="preserve"> (contract manager) </w:t>
      </w:r>
      <w:r w:rsidR="00AA4DB5" w:rsidRPr="00CB731B">
        <w:rPr>
          <w:rFonts w:asciiTheme="minorHAnsi" w:hAnsiTheme="minorHAnsi" w:cs="Arial"/>
          <w:sz w:val="22"/>
          <w:szCs w:val="22"/>
          <w:lang w:val="en-GB"/>
        </w:rPr>
        <w:t xml:space="preserve">each </w:t>
      </w:r>
      <w:r w:rsidR="00D301B2">
        <w:rPr>
          <w:rFonts w:asciiTheme="minorHAnsi" w:hAnsiTheme="minorHAnsi" w:cs="Arial"/>
          <w:sz w:val="22"/>
          <w:szCs w:val="22"/>
          <w:lang w:val="en-GB"/>
        </w:rPr>
        <w:t>documenting a minimum of 8</w:t>
      </w:r>
      <w:r w:rsidRPr="00CB731B">
        <w:rPr>
          <w:rFonts w:asciiTheme="minorHAnsi" w:hAnsiTheme="minorHAnsi" w:cs="Arial"/>
          <w:sz w:val="22"/>
          <w:szCs w:val="22"/>
          <w:lang w:val="en-GB"/>
        </w:rPr>
        <w:t xml:space="preserve"> years’ relevant experience</w:t>
      </w:r>
      <w:r w:rsidR="00AA4DB5" w:rsidRPr="00CB731B">
        <w:rPr>
          <w:rFonts w:asciiTheme="minorHAnsi" w:hAnsiTheme="minorHAnsi" w:cs="Arial"/>
          <w:sz w:val="22"/>
          <w:szCs w:val="22"/>
          <w:lang w:val="en-GB"/>
        </w:rPr>
        <w:t xml:space="preserve"> and statement of language skills</w:t>
      </w:r>
      <w:r w:rsidR="00143FEA">
        <w:rPr>
          <w:rFonts w:asciiTheme="minorHAnsi" w:hAnsiTheme="minorHAnsi" w:cs="Arial"/>
          <w:sz w:val="22"/>
          <w:szCs w:val="22"/>
          <w:lang w:val="en-GB"/>
        </w:rPr>
        <w:t xml:space="preserve"> </w:t>
      </w:r>
      <w:r w:rsidR="00143FEA" w:rsidRPr="00085FA6">
        <w:rPr>
          <w:rFonts w:asciiTheme="minorHAnsi" w:eastAsiaTheme="minorHAnsi" w:hAnsiTheme="minorHAnsi" w:cstheme="minorHAnsi"/>
          <w:sz w:val="22"/>
          <w:szCs w:val="22"/>
          <w:lang w:val="en-GB"/>
        </w:rPr>
        <w:t>in line with the Common European Framework of languages</w:t>
      </w:r>
      <w:r w:rsidR="00143FEA">
        <w:rPr>
          <w:rFonts w:asciiTheme="minorHAnsi" w:eastAsiaTheme="minorHAnsi" w:hAnsiTheme="minorHAnsi" w:cstheme="minorHAnsi"/>
          <w:sz w:val="22"/>
          <w:szCs w:val="22"/>
          <w:lang w:val="en-GB"/>
        </w:rPr>
        <w:t xml:space="preserve"> (see annex 8)</w:t>
      </w:r>
      <w:r w:rsidRPr="00CB731B">
        <w:rPr>
          <w:rFonts w:asciiTheme="minorHAnsi" w:hAnsiTheme="minorHAnsi" w:cs="Arial"/>
          <w:sz w:val="22"/>
          <w:szCs w:val="22"/>
          <w:lang w:val="en-GB"/>
        </w:rPr>
        <w:t>;</w:t>
      </w:r>
    </w:p>
    <w:p w14:paraId="1C275D88" w14:textId="6D64F841" w:rsidR="005F1495" w:rsidRPr="00CB731B" w:rsidRDefault="00143FEA" w:rsidP="005F1495">
      <w:pPr>
        <w:pStyle w:val="ListBullet1"/>
        <w:numPr>
          <w:ilvl w:val="0"/>
          <w:numId w:val="7"/>
        </w:numPr>
        <w:spacing w:before="120" w:after="120"/>
        <w:rPr>
          <w:rFonts w:asciiTheme="minorHAnsi" w:hAnsiTheme="minorHAnsi" w:cs="Arial"/>
          <w:sz w:val="22"/>
          <w:szCs w:val="22"/>
          <w:lang w:val="en-GB"/>
        </w:rPr>
      </w:pPr>
      <w:r>
        <w:rPr>
          <w:rFonts w:asciiTheme="minorHAnsi" w:hAnsiTheme="minorHAnsi" w:cs="Arial"/>
          <w:sz w:val="22"/>
          <w:szCs w:val="22"/>
          <w:lang w:val="en-GB"/>
        </w:rPr>
        <w:t>Consultants</w:t>
      </w:r>
      <w:r w:rsidRPr="00CB731B">
        <w:rPr>
          <w:rFonts w:asciiTheme="minorHAnsi" w:hAnsiTheme="minorHAnsi" w:cs="Arial"/>
          <w:sz w:val="22"/>
          <w:szCs w:val="22"/>
          <w:lang w:val="en-GB"/>
        </w:rPr>
        <w:t xml:space="preserve"> </w:t>
      </w:r>
      <w:r w:rsidR="005F1495" w:rsidRPr="00CB731B">
        <w:rPr>
          <w:rFonts w:asciiTheme="minorHAnsi" w:hAnsiTheme="minorHAnsi" w:cs="Arial"/>
          <w:sz w:val="22"/>
          <w:szCs w:val="22"/>
          <w:lang w:val="en-GB"/>
        </w:rPr>
        <w:t xml:space="preserve">responsible for providing the services: Minimum 3 </w:t>
      </w:r>
      <w:r w:rsidR="00B206D1" w:rsidRPr="00CB731B">
        <w:rPr>
          <w:rFonts w:asciiTheme="minorHAnsi" w:hAnsiTheme="minorHAnsi" w:cs="Arial"/>
          <w:sz w:val="22"/>
          <w:szCs w:val="22"/>
          <w:lang w:val="en-GB"/>
        </w:rPr>
        <w:t xml:space="preserve">(three) </w:t>
      </w:r>
      <w:r w:rsidR="005F1495" w:rsidRPr="00CB731B">
        <w:rPr>
          <w:rFonts w:asciiTheme="minorHAnsi" w:hAnsiTheme="minorHAnsi" w:cs="Arial"/>
          <w:sz w:val="22"/>
          <w:szCs w:val="22"/>
          <w:lang w:val="en-GB"/>
        </w:rPr>
        <w:t>CVs</w:t>
      </w:r>
      <w:r w:rsidR="00D301B2">
        <w:rPr>
          <w:rFonts w:asciiTheme="minorHAnsi" w:hAnsiTheme="minorHAnsi" w:cs="Arial"/>
          <w:sz w:val="22"/>
          <w:szCs w:val="22"/>
          <w:lang w:val="en-GB"/>
        </w:rPr>
        <w:t xml:space="preserve"> each documenting a minimum of 5</w:t>
      </w:r>
      <w:r w:rsidR="00AA4DB5" w:rsidRPr="00CB731B">
        <w:rPr>
          <w:rFonts w:asciiTheme="minorHAnsi" w:hAnsiTheme="minorHAnsi" w:cs="Arial"/>
          <w:sz w:val="22"/>
          <w:szCs w:val="22"/>
          <w:lang w:val="en-GB"/>
        </w:rPr>
        <w:t xml:space="preserve"> years’ relevant experience </w:t>
      </w:r>
      <w:r w:rsidR="005F1495" w:rsidRPr="00CB731B">
        <w:rPr>
          <w:rFonts w:asciiTheme="minorHAnsi" w:hAnsiTheme="minorHAnsi" w:cs="Arial"/>
          <w:sz w:val="22"/>
          <w:szCs w:val="22"/>
          <w:lang w:val="en-GB"/>
        </w:rPr>
        <w:t>and statement of language skills</w:t>
      </w:r>
      <w:r>
        <w:rPr>
          <w:rFonts w:asciiTheme="minorHAnsi" w:hAnsiTheme="minorHAnsi" w:cs="Arial"/>
          <w:sz w:val="22"/>
          <w:szCs w:val="22"/>
          <w:lang w:val="en-GB"/>
        </w:rPr>
        <w:t xml:space="preserve"> (in line with the Common European Framework of languages (see annex 8)</w:t>
      </w:r>
      <w:r w:rsidR="005F1495" w:rsidRPr="00CB731B">
        <w:rPr>
          <w:rFonts w:asciiTheme="minorHAnsi" w:hAnsiTheme="minorHAnsi" w:cs="Arial"/>
          <w:sz w:val="22"/>
          <w:szCs w:val="22"/>
          <w:lang w:val="en-GB"/>
        </w:rPr>
        <w:t>;</w:t>
      </w:r>
    </w:p>
    <w:p w14:paraId="2D3BE47A" w14:textId="77777777" w:rsidR="005F1495" w:rsidRPr="00CB731B" w:rsidRDefault="005F1495" w:rsidP="005F1495">
      <w:pPr>
        <w:pStyle w:val="ListBullet1"/>
        <w:numPr>
          <w:ilvl w:val="0"/>
          <w:numId w:val="12"/>
        </w:numPr>
        <w:ind w:hanging="720"/>
        <w:outlineLvl w:val="0"/>
        <w:rPr>
          <w:rFonts w:asciiTheme="minorHAnsi" w:hAnsiTheme="minorHAnsi" w:cs="Arial"/>
          <w:sz w:val="22"/>
          <w:szCs w:val="22"/>
          <w:lang w:val="en-GB"/>
        </w:rPr>
      </w:pPr>
      <w:r w:rsidRPr="00CB731B">
        <w:rPr>
          <w:rFonts w:asciiTheme="minorHAnsi" w:hAnsiTheme="minorHAnsi" w:cs="Arial"/>
          <w:b/>
          <w:i/>
          <w:sz w:val="22"/>
          <w:szCs w:val="22"/>
          <w:lang w:val="en-GB"/>
        </w:rPr>
        <w:t>Past contracts</w:t>
      </w:r>
      <w:r w:rsidRPr="00CB731B">
        <w:rPr>
          <w:rFonts w:asciiTheme="minorHAnsi" w:hAnsiTheme="minorHAnsi" w:cs="Arial"/>
          <w:sz w:val="22"/>
          <w:szCs w:val="22"/>
          <w:lang w:val="en-GB"/>
        </w:rPr>
        <w:t>:</w:t>
      </w:r>
    </w:p>
    <w:p w14:paraId="6DB8ED64" w14:textId="77777777" w:rsidR="005F1495" w:rsidRPr="00CB731B"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t>Tenderers shall provide details of major contracts awarded to them relevant to the services required by the EEA, indicating the value, dates, brief descr</w:t>
      </w:r>
      <w:r w:rsidR="00D301B2">
        <w:rPr>
          <w:rFonts w:asciiTheme="minorHAnsi" w:hAnsiTheme="minorHAnsi" w:cs="Arial"/>
          <w:sz w:val="22"/>
          <w:szCs w:val="22"/>
          <w:lang w:val="en-GB"/>
        </w:rPr>
        <w:t xml:space="preserve">iption of the services provided </w:t>
      </w:r>
      <w:r w:rsidRPr="00CB731B">
        <w:rPr>
          <w:rFonts w:asciiTheme="minorHAnsi" w:hAnsiTheme="minorHAnsi" w:cs="Arial"/>
          <w:sz w:val="22"/>
          <w:szCs w:val="22"/>
          <w:lang w:val="en-GB"/>
        </w:rPr>
        <w:t>and recipients of the services (public or private), under the following two categories: (1) contracts currently undertaken; and (2) contracts that have been undertaken over the last 3 (three) years;</w:t>
      </w:r>
    </w:p>
    <w:p w14:paraId="6A7803B2" w14:textId="77777777" w:rsidR="005F1495" w:rsidRPr="00CB731B" w:rsidRDefault="005A2322" w:rsidP="005F1495">
      <w:pPr>
        <w:pStyle w:val="ListBullet1"/>
        <w:numPr>
          <w:ilvl w:val="0"/>
          <w:numId w:val="12"/>
        </w:numPr>
        <w:ind w:hanging="720"/>
        <w:outlineLvl w:val="0"/>
        <w:rPr>
          <w:rFonts w:asciiTheme="minorHAnsi" w:hAnsiTheme="minorHAnsi" w:cs="Arial"/>
          <w:b/>
          <w:i/>
          <w:sz w:val="22"/>
          <w:szCs w:val="22"/>
          <w:lang w:val="en-GB"/>
        </w:rPr>
      </w:pPr>
      <w:r w:rsidRPr="00CB731B">
        <w:rPr>
          <w:rFonts w:asciiTheme="minorHAnsi" w:hAnsiTheme="minorHAnsi" w:cs="Arial"/>
          <w:b/>
          <w:i/>
          <w:sz w:val="22"/>
          <w:szCs w:val="22"/>
          <w:lang w:val="en-GB"/>
        </w:rPr>
        <w:t>Organisational structure</w:t>
      </w:r>
    </w:p>
    <w:p w14:paraId="1932B2EF" w14:textId="5594C2EF" w:rsidR="005F1495"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t xml:space="preserve">Tenderers shall provide </w:t>
      </w:r>
      <w:r w:rsidR="005A2322" w:rsidRPr="00CB731B">
        <w:rPr>
          <w:rFonts w:asciiTheme="minorHAnsi" w:hAnsiTheme="minorHAnsi" w:cs="Arial"/>
          <w:sz w:val="22"/>
          <w:szCs w:val="22"/>
          <w:lang w:val="en-GB"/>
        </w:rPr>
        <w:t xml:space="preserve">a description of their organisational internal structure with indication of number of employees </w:t>
      </w:r>
      <w:r w:rsidR="00D301B2">
        <w:rPr>
          <w:rFonts w:asciiTheme="minorHAnsi" w:hAnsiTheme="minorHAnsi" w:cs="Arial"/>
          <w:sz w:val="22"/>
          <w:szCs w:val="22"/>
          <w:lang w:val="en-GB"/>
        </w:rPr>
        <w:t xml:space="preserve">(or consultants) </w:t>
      </w:r>
      <w:r w:rsidR="005A2322" w:rsidRPr="00CB731B">
        <w:rPr>
          <w:rFonts w:asciiTheme="minorHAnsi" w:hAnsiTheme="minorHAnsi" w:cs="Arial"/>
          <w:sz w:val="22"/>
          <w:szCs w:val="22"/>
          <w:lang w:val="en-GB"/>
        </w:rPr>
        <w:t xml:space="preserve">and the number of managerial staff </w:t>
      </w:r>
      <w:r w:rsidR="00D301B2">
        <w:rPr>
          <w:rFonts w:asciiTheme="minorHAnsi" w:hAnsiTheme="minorHAnsi" w:cs="Arial"/>
          <w:sz w:val="22"/>
          <w:szCs w:val="22"/>
          <w:lang w:val="en-GB"/>
        </w:rPr>
        <w:t>directly or indirectly related to the services</w:t>
      </w:r>
      <w:r w:rsidR="00143FEA">
        <w:rPr>
          <w:rFonts w:asciiTheme="minorHAnsi" w:hAnsiTheme="minorHAnsi" w:cs="Arial"/>
          <w:sz w:val="22"/>
          <w:szCs w:val="22"/>
          <w:lang w:val="en-GB"/>
        </w:rPr>
        <w:t xml:space="preserve"> required by the EEA</w:t>
      </w:r>
      <w:r w:rsidR="005A2322" w:rsidRPr="00CB731B">
        <w:rPr>
          <w:rFonts w:asciiTheme="minorHAnsi" w:hAnsiTheme="minorHAnsi" w:cs="Arial"/>
          <w:sz w:val="22"/>
          <w:szCs w:val="22"/>
          <w:lang w:val="en-GB"/>
        </w:rPr>
        <w:t xml:space="preserve">; </w:t>
      </w:r>
    </w:p>
    <w:p w14:paraId="47072543" w14:textId="77777777" w:rsidR="00915094" w:rsidRPr="00CB731B" w:rsidRDefault="00915094" w:rsidP="005F1495">
      <w:pPr>
        <w:pStyle w:val="ListBullet1"/>
        <w:numPr>
          <w:ilvl w:val="0"/>
          <w:numId w:val="0"/>
        </w:numPr>
        <w:rPr>
          <w:rFonts w:asciiTheme="minorHAnsi" w:hAnsiTheme="minorHAnsi" w:cs="Arial"/>
          <w:sz w:val="22"/>
          <w:szCs w:val="22"/>
          <w:lang w:val="en-GB"/>
        </w:rPr>
      </w:pPr>
    </w:p>
    <w:p w14:paraId="49074A8C" w14:textId="77777777" w:rsidR="005F1495" w:rsidRPr="00CB731B" w:rsidRDefault="005F1495" w:rsidP="005F1495">
      <w:pPr>
        <w:pStyle w:val="ListBullet1"/>
        <w:numPr>
          <w:ilvl w:val="0"/>
          <w:numId w:val="12"/>
        </w:numPr>
        <w:spacing w:before="120" w:after="120"/>
        <w:ind w:hanging="720"/>
        <w:rPr>
          <w:rFonts w:asciiTheme="minorHAnsi" w:hAnsiTheme="minorHAnsi" w:cstheme="minorHAnsi"/>
          <w:b/>
          <w:bCs/>
          <w:i/>
          <w:sz w:val="22"/>
          <w:szCs w:val="22"/>
          <w:lang w:val="en-GB"/>
        </w:rPr>
      </w:pPr>
      <w:r w:rsidRPr="00CB731B">
        <w:rPr>
          <w:rFonts w:asciiTheme="minorHAnsi" w:hAnsiTheme="minorHAnsi" w:cstheme="minorHAnsi"/>
          <w:b/>
          <w:i/>
          <w:sz w:val="22"/>
          <w:szCs w:val="22"/>
          <w:lang w:val="en-GB"/>
        </w:rPr>
        <w:lastRenderedPageBreak/>
        <w:t>Quality control:</w:t>
      </w:r>
    </w:p>
    <w:p w14:paraId="37C3C0E4" w14:textId="77777777" w:rsidR="005F1495" w:rsidRPr="00CB731B" w:rsidRDefault="005F1495" w:rsidP="005F1495">
      <w:pPr>
        <w:pStyle w:val="ListBullet1"/>
        <w:numPr>
          <w:ilvl w:val="0"/>
          <w:numId w:val="0"/>
        </w:numPr>
        <w:rPr>
          <w:rFonts w:asciiTheme="minorHAnsi" w:hAnsiTheme="minorHAnsi" w:cstheme="minorHAnsi"/>
          <w:sz w:val="22"/>
          <w:szCs w:val="22"/>
          <w:shd w:val="clear" w:color="auto" w:fill="FFFFFF" w:themeFill="background1"/>
          <w:lang w:val="en-GB"/>
        </w:rPr>
      </w:pPr>
      <w:r w:rsidRPr="00CB731B">
        <w:rPr>
          <w:rFonts w:asciiTheme="minorHAnsi" w:hAnsiTheme="minorHAnsi" w:cstheme="minorHAnsi"/>
          <w:sz w:val="22"/>
          <w:szCs w:val="22"/>
          <w:shd w:val="clear" w:color="auto" w:fill="FFFFFF" w:themeFill="background1"/>
          <w:lang w:val="en-GB"/>
        </w:rPr>
        <w:t>Tenderers shall provide details of any quality assurance accreditation that they hold. If no accreditation held, tenderers shall provide an outline of any quality assurance policy specifying status of implementation, and details of any quality assurance accreditations for which they have applied.</w:t>
      </w:r>
      <w:r w:rsidR="00143FEA">
        <w:rPr>
          <w:rFonts w:asciiTheme="minorHAnsi" w:hAnsiTheme="minorHAnsi" w:cstheme="minorHAnsi"/>
          <w:sz w:val="22"/>
          <w:szCs w:val="22"/>
          <w:shd w:val="clear" w:color="auto" w:fill="FFFFFF" w:themeFill="background1"/>
          <w:lang w:val="en-GB"/>
        </w:rPr>
        <w:t xml:space="preserve"> In the event of a joint offer submitted by a consortium, each member of the consortium shall provide the requested information.</w:t>
      </w:r>
    </w:p>
    <w:p w14:paraId="6BCBB11C" w14:textId="77777777" w:rsidR="00CA2E2F" w:rsidRPr="00CB731B" w:rsidRDefault="00CA2E2F" w:rsidP="00CA2E2F">
      <w:pPr>
        <w:pStyle w:val="ListBullet1"/>
        <w:numPr>
          <w:ilvl w:val="0"/>
          <w:numId w:val="19"/>
        </w:numPr>
        <w:spacing w:before="120" w:after="120"/>
        <w:ind w:left="709" w:hanging="709"/>
        <w:rPr>
          <w:rFonts w:asciiTheme="minorHAnsi" w:hAnsiTheme="minorHAnsi" w:cstheme="minorHAnsi"/>
          <w:b/>
          <w:sz w:val="22"/>
          <w:szCs w:val="22"/>
          <w:lang w:val="en-GB"/>
        </w:rPr>
      </w:pPr>
      <w:r w:rsidRPr="00CB731B">
        <w:rPr>
          <w:rFonts w:asciiTheme="minorHAnsi" w:hAnsiTheme="minorHAnsi" w:cs="Arial"/>
          <w:b/>
          <w:i/>
          <w:iCs/>
          <w:sz w:val="22"/>
          <w:szCs w:val="22"/>
          <w:lang w:val="en-GB"/>
        </w:rPr>
        <w:t>Environmental</w:t>
      </w:r>
      <w:r w:rsidRPr="00CB731B">
        <w:rPr>
          <w:rFonts w:asciiTheme="minorHAnsi" w:hAnsiTheme="minorHAnsi" w:cstheme="minorHAnsi"/>
          <w:b/>
          <w:i/>
          <w:sz w:val="22"/>
          <w:szCs w:val="22"/>
          <w:lang w:val="en-GB"/>
        </w:rPr>
        <w:t xml:space="preserve"> policy:</w:t>
      </w:r>
      <w:r w:rsidRPr="00CB731B">
        <w:rPr>
          <w:rFonts w:asciiTheme="minorHAnsi" w:hAnsiTheme="minorHAnsi" w:cstheme="minorHAnsi"/>
          <w:b/>
          <w:sz w:val="22"/>
          <w:szCs w:val="22"/>
          <w:lang w:val="en-GB"/>
        </w:rPr>
        <w:t xml:space="preserve"> </w:t>
      </w:r>
    </w:p>
    <w:p w14:paraId="0056678D" w14:textId="77777777" w:rsidR="00CA2E2F" w:rsidRPr="00CB731B" w:rsidRDefault="00CA2E2F" w:rsidP="00CA2E2F">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t>Tenderers shall provide a description of their environmental policy specifying the status of implementation. In the event of a joint offer submitted by a consortium, each member of the consortium shall provide the requested description.</w:t>
      </w:r>
    </w:p>
    <w:p w14:paraId="0DCF40C0" w14:textId="77777777" w:rsidR="005F1495" w:rsidRPr="00915094" w:rsidRDefault="005F1495" w:rsidP="005F1495">
      <w:pPr>
        <w:pStyle w:val="ListBullet1"/>
        <w:numPr>
          <w:ilvl w:val="1"/>
          <w:numId w:val="8"/>
        </w:numPr>
        <w:rPr>
          <w:rFonts w:asciiTheme="minorHAnsi" w:hAnsiTheme="minorHAnsi" w:cs="Arial"/>
          <w:b/>
          <w:i/>
          <w:sz w:val="22"/>
          <w:szCs w:val="22"/>
          <w:lang w:val="en-GB"/>
        </w:rPr>
      </w:pPr>
      <w:r w:rsidRPr="00915094">
        <w:rPr>
          <w:rFonts w:asciiTheme="minorHAnsi" w:hAnsiTheme="minorHAnsi" w:cs="Arial"/>
          <w:b/>
          <w:i/>
          <w:sz w:val="22"/>
          <w:szCs w:val="22"/>
          <w:lang w:val="en-GB"/>
        </w:rPr>
        <w:t>Award criteria</w:t>
      </w:r>
    </w:p>
    <w:p w14:paraId="62F3C5E3" w14:textId="77777777" w:rsidR="005F1495" w:rsidRPr="00CB731B"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t>The assessment method that will be used to determine the choice of the tender will be based on the criteria given below, on the basis of the economically most advantageous tender in terms of:</w:t>
      </w:r>
    </w:p>
    <w:p w14:paraId="3CFB9041" w14:textId="782D5E64" w:rsidR="005F1495" w:rsidRPr="00CB731B" w:rsidRDefault="001464C2" w:rsidP="005F1495">
      <w:pPr>
        <w:pStyle w:val="ListBullet1"/>
        <w:numPr>
          <w:ilvl w:val="0"/>
          <w:numId w:val="9"/>
        </w:numPr>
        <w:rPr>
          <w:rFonts w:asciiTheme="minorHAnsi" w:hAnsiTheme="minorHAnsi" w:cs="Arial"/>
          <w:sz w:val="22"/>
          <w:szCs w:val="22"/>
          <w:lang w:val="en-GB"/>
        </w:rPr>
      </w:pPr>
      <w:r>
        <w:rPr>
          <w:rFonts w:asciiTheme="minorHAnsi" w:hAnsiTheme="minorHAnsi" w:cs="Arial"/>
          <w:sz w:val="22"/>
          <w:szCs w:val="22"/>
          <w:lang w:val="en-GB"/>
        </w:rPr>
        <w:t>t</w:t>
      </w:r>
      <w:r w:rsidRPr="00CB731B">
        <w:rPr>
          <w:rFonts w:asciiTheme="minorHAnsi" w:hAnsiTheme="minorHAnsi" w:cs="Arial"/>
          <w:sz w:val="22"/>
          <w:szCs w:val="22"/>
          <w:lang w:val="en-GB"/>
        </w:rPr>
        <w:t xml:space="preserve">he </w:t>
      </w:r>
      <w:r w:rsidR="005F1495" w:rsidRPr="00CB731B">
        <w:rPr>
          <w:rFonts w:asciiTheme="minorHAnsi" w:hAnsiTheme="minorHAnsi" w:cs="Arial"/>
          <w:sz w:val="22"/>
          <w:szCs w:val="22"/>
          <w:lang w:val="en-GB"/>
        </w:rPr>
        <w:t>quality of the tender (Technical merit – TM)</w:t>
      </w:r>
      <w:r w:rsidR="00435336">
        <w:rPr>
          <w:rFonts w:asciiTheme="minorHAnsi" w:hAnsiTheme="minorHAnsi" w:cs="Arial"/>
          <w:sz w:val="22"/>
          <w:szCs w:val="22"/>
          <w:lang w:val="en-GB"/>
        </w:rPr>
        <w:t>, and</w:t>
      </w:r>
    </w:p>
    <w:p w14:paraId="19D9E428" w14:textId="7F8B2779" w:rsidR="005F1495" w:rsidRPr="00CB731B" w:rsidRDefault="001464C2" w:rsidP="005F1495">
      <w:pPr>
        <w:pStyle w:val="ListBullet1"/>
        <w:numPr>
          <w:ilvl w:val="0"/>
          <w:numId w:val="9"/>
        </w:numPr>
        <w:rPr>
          <w:rFonts w:asciiTheme="minorHAnsi" w:hAnsiTheme="minorHAnsi" w:cs="Arial"/>
          <w:sz w:val="22"/>
          <w:szCs w:val="22"/>
          <w:lang w:val="en-GB"/>
        </w:rPr>
      </w:pPr>
      <w:proofErr w:type="gramStart"/>
      <w:r>
        <w:rPr>
          <w:rFonts w:asciiTheme="minorHAnsi" w:hAnsiTheme="minorHAnsi" w:cs="Arial"/>
          <w:sz w:val="22"/>
          <w:szCs w:val="22"/>
          <w:lang w:val="en-GB"/>
        </w:rPr>
        <w:t>t</w:t>
      </w:r>
      <w:r w:rsidRPr="00CB731B">
        <w:rPr>
          <w:rFonts w:asciiTheme="minorHAnsi" w:hAnsiTheme="minorHAnsi" w:cs="Arial"/>
          <w:sz w:val="22"/>
          <w:szCs w:val="22"/>
          <w:lang w:val="en-GB"/>
        </w:rPr>
        <w:t>he</w:t>
      </w:r>
      <w:proofErr w:type="gramEnd"/>
      <w:r w:rsidRPr="00CB731B">
        <w:rPr>
          <w:rFonts w:asciiTheme="minorHAnsi" w:hAnsiTheme="minorHAnsi" w:cs="Arial"/>
          <w:sz w:val="22"/>
          <w:szCs w:val="22"/>
          <w:lang w:val="en-GB"/>
        </w:rPr>
        <w:t xml:space="preserve"> </w:t>
      </w:r>
      <w:r w:rsidR="005F1495" w:rsidRPr="00CB731B">
        <w:rPr>
          <w:rFonts w:asciiTheme="minorHAnsi" w:hAnsiTheme="minorHAnsi" w:cs="Arial"/>
          <w:sz w:val="22"/>
          <w:szCs w:val="22"/>
          <w:lang w:val="en-GB"/>
        </w:rPr>
        <w:t>financial value of the tender (Price –P)</w:t>
      </w:r>
      <w:r>
        <w:rPr>
          <w:rFonts w:asciiTheme="minorHAnsi" w:hAnsiTheme="minorHAnsi" w:cs="Arial"/>
          <w:sz w:val="22"/>
          <w:szCs w:val="22"/>
          <w:lang w:val="en-GB"/>
        </w:rPr>
        <w:t>.</w:t>
      </w:r>
    </w:p>
    <w:p w14:paraId="5712A480" w14:textId="77777777" w:rsidR="005F1495" w:rsidRPr="00CB731B" w:rsidRDefault="005F1495" w:rsidP="005F1495">
      <w:pPr>
        <w:pStyle w:val="ListBullet1"/>
        <w:numPr>
          <w:ilvl w:val="2"/>
          <w:numId w:val="8"/>
        </w:numPr>
        <w:rPr>
          <w:rFonts w:asciiTheme="minorHAnsi" w:hAnsiTheme="minorHAnsi" w:cs="Arial"/>
          <w:b/>
          <w:sz w:val="22"/>
          <w:szCs w:val="22"/>
          <w:lang w:val="en-GB"/>
        </w:rPr>
      </w:pPr>
      <w:r w:rsidRPr="00CB731B">
        <w:rPr>
          <w:rFonts w:asciiTheme="minorHAnsi" w:hAnsiTheme="minorHAnsi" w:cs="Arial"/>
          <w:b/>
          <w:sz w:val="22"/>
          <w:szCs w:val="22"/>
          <w:lang w:val="en-GB"/>
        </w:rPr>
        <w:t xml:space="preserve">Technical merit (TM) (max. </w:t>
      </w:r>
      <w:r w:rsidR="00AD6668" w:rsidRPr="00CB731B">
        <w:rPr>
          <w:rFonts w:asciiTheme="minorHAnsi" w:hAnsiTheme="minorHAnsi" w:cs="Arial"/>
          <w:b/>
          <w:sz w:val="22"/>
          <w:szCs w:val="22"/>
          <w:lang w:val="en-GB"/>
        </w:rPr>
        <w:t>7</w:t>
      </w:r>
      <w:r w:rsidRPr="00CB731B">
        <w:rPr>
          <w:rFonts w:asciiTheme="minorHAnsi" w:hAnsiTheme="minorHAnsi" w:cs="Arial"/>
          <w:b/>
          <w:sz w:val="22"/>
          <w:szCs w:val="22"/>
          <w:lang w:val="en-GB"/>
        </w:rPr>
        <w:t>0, min. 4</w:t>
      </w:r>
      <w:r w:rsidR="00AD6668" w:rsidRPr="00CB731B">
        <w:rPr>
          <w:rFonts w:asciiTheme="minorHAnsi" w:hAnsiTheme="minorHAnsi" w:cs="Arial"/>
          <w:b/>
          <w:sz w:val="22"/>
          <w:szCs w:val="22"/>
          <w:lang w:val="en-GB"/>
        </w:rPr>
        <w:t>8</w:t>
      </w:r>
      <w:r w:rsidRPr="00CB731B">
        <w:rPr>
          <w:rFonts w:asciiTheme="minorHAnsi" w:hAnsiTheme="minorHAnsi" w:cs="Arial"/>
          <w:b/>
          <w:sz w:val="22"/>
          <w:szCs w:val="22"/>
          <w:lang w:val="en-GB"/>
        </w:rPr>
        <w:t xml:space="preserve"> points)</w:t>
      </w:r>
    </w:p>
    <w:p w14:paraId="013DB7C4" w14:textId="77777777" w:rsidR="005F1495" w:rsidRPr="00CB731B"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t xml:space="preserve">Tenders will be evaluated following the award criteria and weights outlined in the table below, producing a total potential score of </w:t>
      </w:r>
      <w:r w:rsidR="00AD6668" w:rsidRPr="00CB731B">
        <w:rPr>
          <w:rFonts w:asciiTheme="minorHAnsi" w:hAnsiTheme="minorHAnsi" w:cs="Arial"/>
          <w:sz w:val="22"/>
          <w:szCs w:val="22"/>
          <w:lang w:val="en-GB"/>
        </w:rPr>
        <w:t>7</w:t>
      </w:r>
      <w:r w:rsidRPr="00CB731B">
        <w:rPr>
          <w:rFonts w:asciiTheme="minorHAnsi" w:hAnsiTheme="minorHAnsi" w:cs="Arial"/>
          <w:sz w:val="22"/>
          <w:szCs w:val="22"/>
          <w:lang w:val="en-GB"/>
        </w:rPr>
        <w:t xml:space="preserve">0 points. </w:t>
      </w:r>
    </w:p>
    <w:p w14:paraId="37BF97F2" w14:textId="77777777" w:rsidR="005F1495" w:rsidRPr="00CB731B"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t>Tenderers shall elaborate on all criteria referred to below in order to score as many points as possible. The mere repetition of mandatory requirements set out in these tender specifications, without going into details or without giving any added value will only result in a low score. If essential elements of these tender specifications are not expressly addressed in the tender, the EEA may decide to give a zero mark for the relevant quality criterion.</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607"/>
        <w:gridCol w:w="5733"/>
        <w:gridCol w:w="1399"/>
        <w:gridCol w:w="1399"/>
      </w:tblGrid>
      <w:tr w:rsidR="005F1495" w:rsidRPr="00CB731B" w14:paraId="5846CADB" w14:textId="77777777" w:rsidTr="00B75D76">
        <w:tc>
          <w:tcPr>
            <w:tcW w:w="1002" w:type="dxa"/>
            <w:gridSpan w:val="2"/>
            <w:shd w:val="clear" w:color="auto" w:fill="E6E6E6"/>
            <w:vAlign w:val="center"/>
          </w:tcPr>
          <w:p w14:paraId="4C34EC2A" w14:textId="77777777" w:rsidR="005F1495" w:rsidRPr="00CB731B" w:rsidRDefault="005F1495" w:rsidP="00917AD6">
            <w:pPr>
              <w:pStyle w:val="ListBullet1"/>
              <w:numPr>
                <w:ilvl w:val="0"/>
                <w:numId w:val="0"/>
              </w:numPr>
              <w:spacing w:before="120" w:after="120"/>
              <w:jc w:val="left"/>
              <w:rPr>
                <w:rFonts w:asciiTheme="minorHAnsi" w:hAnsiTheme="minorHAnsi" w:cs="Arial"/>
                <w:b/>
                <w:sz w:val="22"/>
                <w:szCs w:val="22"/>
                <w:lang w:val="en-GB"/>
              </w:rPr>
            </w:pPr>
            <w:r w:rsidRPr="00CB731B">
              <w:rPr>
                <w:rFonts w:asciiTheme="minorHAnsi" w:hAnsiTheme="minorHAnsi" w:cs="Arial"/>
                <w:b/>
                <w:sz w:val="22"/>
                <w:szCs w:val="22"/>
                <w:lang w:val="en-GB"/>
              </w:rPr>
              <w:t>No</w:t>
            </w:r>
          </w:p>
        </w:tc>
        <w:tc>
          <w:tcPr>
            <w:tcW w:w="5733" w:type="dxa"/>
            <w:tcBorders>
              <w:tr2bl w:val="single" w:sz="4" w:space="0" w:color="auto"/>
            </w:tcBorders>
            <w:shd w:val="clear" w:color="auto" w:fill="E6E6E6"/>
            <w:vAlign w:val="center"/>
          </w:tcPr>
          <w:p w14:paraId="2554F6FA" w14:textId="77777777" w:rsidR="005F1495" w:rsidRPr="00CB731B" w:rsidRDefault="005F1495" w:rsidP="00917AD6">
            <w:pPr>
              <w:pStyle w:val="ListBullet1"/>
              <w:numPr>
                <w:ilvl w:val="0"/>
                <w:numId w:val="0"/>
              </w:numPr>
              <w:spacing w:before="120" w:after="120"/>
              <w:jc w:val="left"/>
              <w:rPr>
                <w:rFonts w:asciiTheme="minorHAnsi" w:hAnsiTheme="minorHAnsi" w:cs="Arial"/>
                <w:b/>
                <w:sz w:val="22"/>
                <w:szCs w:val="22"/>
                <w:lang w:val="en-GB"/>
              </w:rPr>
            </w:pPr>
            <w:r w:rsidRPr="00CB731B">
              <w:rPr>
                <w:rFonts w:asciiTheme="minorHAnsi" w:hAnsiTheme="minorHAnsi" w:cs="Arial"/>
                <w:b/>
                <w:sz w:val="22"/>
                <w:szCs w:val="22"/>
                <w:lang w:val="en-GB"/>
              </w:rPr>
              <w:t>Award criteria</w:t>
            </w:r>
          </w:p>
          <w:p w14:paraId="4793A7FE" w14:textId="77777777" w:rsidR="00AD6668" w:rsidRPr="00CB731B" w:rsidRDefault="00AD6668" w:rsidP="00AD6668">
            <w:pPr>
              <w:pStyle w:val="ListBullet1"/>
              <w:numPr>
                <w:ilvl w:val="0"/>
                <w:numId w:val="0"/>
              </w:numPr>
              <w:spacing w:before="120" w:after="120"/>
              <w:jc w:val="right"/>
              <w:rPr>
                <w:rFonts w:asciiTheme="minorHAnsi" w:hAnsiTheme="minorHAnsi" w:cs="Arial"/>
                <w:b/>
                <w:sz w:val="22"/>
                <w:szCs w:val="22"/>
                <w:lang w:val="en-GB"/>
              </w:rPr>
            </w:pPr>
            <w:r w:rsidRPr="00CB731B">
              <w:rPr>
                <w:rFonts w:asciiTheme="minorHAnsi" w:hAnsiTheme="minorHAnsi" w:cs="Arial"/>
                <w:b/>
                <w:sz w:val="22"/>
                <w:szCs w:val="22"/>
                <w:lang w:val="en-GB"/>
              </w:rPr>
              <w:t>Sub-criteria</w:t>
            </w:r>
          </w:p>
        </w:tc>
        <w:tc>
          <w:tcPr>
            <w:tcW w:w="1399" w:type="dxa"/>
            <w:shd w:val="clear" w:color="auto" w:fill="E6E6E6"/>
            <w:vAlign w:val="center"/>
          </w:tcPr>
          <w:p w14:paraId="06A08695" w14:textId="77777777" w:rsidR="005F1495" w:rsidRPr="00CB731B" w:rsidRDefault="005F1495" w:rsidP="00AD6668">
            <w:pPr>
              <w:pStyle w:val="ListBullet1"/>
              <w:numPr>
                <w:ilvl w:val="0"/>
                <w:numId w:val="0"/>
              </w:numPr>
              <w:spacing w:before="120" w:after="120"/>
              <w:jc w:val="center"/>
              <w:rPr>
                <w:rFonts w:asciiTheme="minorHAnsi" w:hAnsiTheme="minorHAnsi" w:cs="Arial"/>
                <w:b/>
                <w:sz w:val="22"/>
                <w:szCs w:val="22"/>
                <w:lang w:val="en-GB"/>
              </w:rPr>
            </w:pPr>
            <w:r w:rsidRPr="00CB731B">
              <w:rPr>
                <w:rFonts w:asciiTheme="minorHAnsi" w:hAnsiTheme="minorHAnsi" w:cs="Arial"/>
                <w:b/>
                <w:sz w:val="22"/>
                <w:szCs w:val="22"/>
                <w:lang w:val="en-GB"/>
              </w:rPr>
              <w:t>Maximum points (</w:t>
            </w:r>
            <w:r w:rsidR="00AD6668" w:rsidRPr="00CB731B">
              <w:rPr>
                <w:rFonts w:asciiTheme="minorHAnsi" w:hAnsiTheme="minorHAnsi" w:cs="Arial"/>
                <w:b/>
                <w:sz w:val="22"/>
                <w:szCs w:val="22"/>
                <w:lang w:val="en-GB"/>
              </w:rPr>
              <w:t>7</w:t>
            </w:r>
            <w:r w:rsidRPr="00CB731B">
              <w:rPr>
                <w:rFonts w:asciiTheme="minorHAnsi" w:hAnsiTheme="minorHAnsi" w:cs="Arial"/>
                <w:b/>
                <w:sz w:val="22"/>
                <w:szCs w:val="22"/>
                <w:lang w:val="en-GB"/>
              </w:rPr>
              <w:t>0)</w:t>
            </w:r>
          </w:p>
        </w:tc>
        <w:tc>
          <w:tcPr>
            <w:tcW w:w="1399" w:type="dxa"/>
            <w:shd w:val="clear" w:color="auto" w:fill="E6E6E6"/>
            <w:vAlign w:val="center"/>
          </w:tcPr>
          <w:p w14:paraId="5757A44C" w14:textId="0C333E63" w:rsidR="005F1495" w:rsidRPr="00CB731B" w:rsidRDefault="005F1495" w:rsidP="00AD6668">
            <w:pPr>
              <w:pStyle w:val="ListBullet1"/>
              <w:numPr>
                <w:ilvl w:val="0"/>
                <w:numId w:val="0"/>
              </w:numPr>
              <w:spacing w:before="120" w:after="120"/>
              <w:jc w:val="center"/>
              <w:rPr>
                <w:rFonts w:asciiTheme="minorHAnsi" w:hAnsiTheme="minorHAnsi" w:cs="Arial"/>
                <w:b/>
                <w:sz w:val="22"/>
                <w:szCs w:val="22"/>
                <w:lang w:val="en-GB"/>
              </w:rPr>
            </w:pPr>
            <w:r w:rsidRPr="00CB731B">
              <w:rPr>
                <w:rFonts w:asciiTheme="minorHAnsi" w:hAnsiTheme="minorHAnsi" w:cs="Arial"/>
                <w:b/>
                <w:sz w:val="22"/>
                <w:szCs w:val="22"/>
                <w:lang w:val="en-GB"/>
              </w:rPr>
              <w:t>Minimum points (</w:t>
            </w:r>
            <w:r w:rsidR="001F3544">
              <w:rPr>
                <w:rFonts w:asciiTheme="minorHAnsi" w:hAnsiTheme="minorHAnsi" w:cs="Arial"/>
                <w:b/>
                <w:sz w:val="22"/>
                <w:szCs w:val="22"/>
                <w:lang w:val="en-GB"/>
              </w:rPr>
              <w:t>55</w:t>
            </w:r>
            <w:r w:rsidRPr="00CB731B">
              <w:rPr>
                <w:rFonts w:asciiTheme="minorHAnsi" w:hAnsiTheme="minorHAnsi" w:cs="Arial"/>
                <w:b/>
                <w:sz w:val="22"/>
                <w:szCs w:val="22"/>
                <w:lang w:val="en-GB"/>
              </w:rPr>
              <w:t>)</w:t>
            </w:r>
          </w:p>
        </w:tc>
      </w:tr>
      <w:tr w:rsidR="005F1495" w:rsidRPr="00CB731B" w14:paraId="7A87DEE1" w14:textId="77777777" w:rsidTr="00B75D76">
        <w:tc>
          <w:tcPr>
            <w:tcW w:w="1002" w:type="dxa"/>
            <w:gridSpan w:val="2"/>
            <w:shd w:val="clear" w:color="auto" w:fill="D9D9D9" w:themeFill="background1" w:themeFillShade="D9"/>
            <w:vAlign w:val="center"/>
          </w:tcPr>
          <w:p w14:paraId="2EE105D5" w14:textId="77777777" w:rsidR="005F1495" w:rsidRPr="00CB731B" w:rsidRDefault="005F1495" w:rsidP="00917AD6">
            <w:pPr>
              <w:pStyle w:val="ListBullet1"/>
              <w:numPr>
                <w:ilvl w:val="0"/>
                <w:numId w:val="0"/>
              </w:numPr>
              <w:spacing w:before="120" w:after="120"/>
              <w:jc w:val="left"/>
              <w:rPr>
                <w:rFonts w:asciiTheme="minorHAnsi" w:hAnsiTheme="minorHAnsi" w:cs="Arial"/>
                <w:b/>
                <w:sz w:val="22"/>
                <w:szCs w:val="22"/>
                <w:lang w:val="en-GB"/>
              </w:rPr>
            </w:pPr>
            <w:r w:rsidRPr="00CB731B">
              <w:rPr>
                <w:rFonts w:asciiTheme="minorHAnsi" w:hAnsiTheme="minorHAnsi" w:cs="Arial"/>
                <w:b/>
                <w:sz w:val="22"/>
                <w:szCs w:val="22"/>
                <w:lang w:val="en-GB"/>
              </w:rPr>
              <w:t>1</w:t>
            </w:r>
          </w:p>
        </w:tc>
        <w:tc>
          <w:tcPr>
            <w:tcW w:w="5733" w:type="dxa"/>
            <w:shd w:val="clear" w:color="auto" w:fill="FFFFFF" w:themeFill="background1"/>
            <w:vAlign w:val="center"/>
          </w:tcPr>
          <w:p w14:paraId="09A980CB" w14:textId="77777777" w:rsidR="005F1495" w:rsidRPr="00CB731B" w:rsidRDefault="005F1495" w:rsidP="00917AD6">
            <w:pPr>
              <w:pStyle w:val="ListBullet1"/>
              <w:numPr>
                <w:ilvl w:val="0"/>
                <w:numId w:val="0"/>
              </w:numPr>
              <w:spacing w:before="120" w:after="120"/>
              <w:rPr>
                <w:rFonts w:asciiTheme="minorHAnsi" w:hAnsiTheme="minorHAnsi" w:cs="Arial"/>
                <w:i/>
                <w:sz w:val="22"/>
                <w:szCs w:val="22"/>
                <w:lang w:val="en-GB"/>
              </w:rPr>
            </w:pPr>
            <w:r w:rsidRPr="00CB731B">
              <w:rPr>
                <w:rFonts w:asciiTheme="minorHAnsi" w:hAnsiTheme="minorHAnsi" w:cs="Arial"/>
                <w:b/>
                <w:i/>
                <w:sz w:val="22"/>
                <w:szCs w:val="22"/>
                <w:lang w:val="en-GB"/>
              </w:rPr>
              <w:t>Understanding of the scope of the contract and quality of the contract implementation proposal</w:t>
            </w:r>
            <w:r w:rsidRPr="00CB731B">
              <w:rPr>
                <w:rFonts w:asciiTheme="minorHAnsi" w:hAnsiTheme="minorHAnsi" w:cs="Arial"/>
                <w:sz w:val="22"/>
                <w:szCs w:val="22"/>
                <w:lang w:val="en-GB"/>
              </w:rPr>
              <w:t>:</w:t>
            </w:r>
          </w:p>
          <w:p w14:paraId="46BE9901" w14:textId="77777777" w:rsidR="005F1495" w:rsidRPr="00CB731B" w:rsidRDefault="005F1495" w:rsidP="00917AD6">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18"/>
                <w:szCs w:val="22"/>
                <w:lang w:val="en-GB"/>
              </w:rPr>
              <w:t>Tenders will be evaluated in terms of their understanding of the objectives of the call for tenders and in terms of the proposed approach and tools to be used for the provision of the required services:</w:t>
            </w:r>
          </w:p>
        </w:tc>
        <w:tc>
          <w:tcPr>
            <w:tcW w:w="1399" w:type="dxa"/>
            <w:shd w:val="clear" w:color="auto" w:fill="FFFFFF" w:themeFill="background1"/>
            <w:vAlign w:val="center"/>
          </w:tcPr>
          <w:p w14:paraId="19008A1E" w14:textId="77777777" w:rsidR="005F1495" w:rsidRPr="00CB731B" w:rsidRDefault="00EF5101" w:rsidP="00917AD6">
            <w:pPr>
              <w:pStyle w:val="ListBullet1"/>
              <w:numPr>
                <w:ilvl w:val="0"/>
                <w:numId w:val="0"/>
              </w:numPr>
              <w:spacing w:before="120" w:after="120"/>
              <w:jc w:val="center"/>
              <w:rPr>
                <w:rFonts w:asciiTheme="minorHAnsi" w:hAnsiTheme="minorHAnsi" w:cs="Arial"/>
                <w:b/>
                <w:sz w:val="22"/>
                <w:szCs w:val="22"/>
                <w:lang w:val="en-GB"/>
              </w:rPr>
            </w:pPr>
            <w:r w:rsidRPr="00CB731B">
              <w:rPr>
                <w:rFonts w:asciiTheme="minorHAnsi" w:hAnsiTheme="minorHAnsi" w:cs="Arial"/>
                <w:b/>
                <w:sz w:val="22"/>
                <w:szCs w:val="22"/>
                <w:lang w:val="en-GB"/>
              </w:rPr>
              <w:t>42</w:t>
            </w:r>
          </w:p>
        </w:tc>
        <w:tc>
          <w:tcPr>
            <w:tcW w:w="1399" w:type="dxa"/>
            <w:shd w:val="clear" w:color="auto" w:fill="FFFFFF" w:themeFill="background1"/>
            <w:vAlign w:val="center"/>
          </w:tcPr>
          <w:p w14:paraId="44BF50B4" w14:textId="77777777" w:rsidR="005F1495" w:rsidRPr="00CB731B" w:rsidRDefault="00EF5101" w:rsidP="00917AD6">
            <w:pPr>
              <w:pStyle w:val="ListBullet1"/>
              <w:numPr>
                <w:ilvl w:val="0"/>
                <w:numId w:val="0"/>
              </w:numPr>
              <w:spacing w:before="120" w:after="120"/>
              <w:jc w:val="center"/>
              <w:rPr>
                <w:rFonts w:asciiTheme="minorHAnsi" w:hAnsiTheme="minorHAnsi" w:cs="Arial"/>
                <w:b/>
                <w:sz w:val="22"/>
                <w:szCs w:val="22"/>
                <w:lang w:val="en-GB"/>
              </w:rPr>
            </w:pPr>
            <w:r w:rsidRPr="00CB731B">
              <w:rPr>
                <w:rFonts w:asciiTheme="minorHAnsi" w:hAnsiTheme="minorHAnsi" w:cs="Arial"/>
                <w:b/>
                <w:sz w:val="22"/>
                <w:szCs w:val="22"/>
                <w:lang w:val="en-GB"/>
              </w:rPr>
              <w:t>28</w:t>
            </w:r>
          </w:p>
        </w:tc>
      </w:tr>
      <w:tr w:rsidR="00C86192" w:rsidRPr="00C86192" w14:paraId="3AABA00D" w14:textId="77777777" w:rsidTr="00B75D76">
        <w:tc>
          <w:tcPr>
            <w:tcW w:w="395" w:type="dxa"/>
            <w:shd w:val="clear" w:color="auto" w:fill="D9D9D9" w:themeFill="background1" w:themeFillShade="D9"/>
            <w:vAlign w:val="center"/>
          </w:tcPr>
          <w:p w14:paraId="497E679B" w14:textId="77777777" w:rsidR="00AD6668" w:rsidRPr="00C86192" w:rsidRDefault="00AD6668" w:rsidP="00917AD6">
            <w:pPr>
              <w:pStyle w:val="ListBullet1"/>
              <w:numPr>
                <w:ilvl w:val="0"/>
                <w:numId w:val="0"/>
              </w:numPr>
              <w:spacing w:before="120" w:after="120"/>
              <w:jc w:val="left"/>
              <w:rPr>
                <w:rFonts w:asciiTheme="minorHAnsi" w:hAnsiTheme="minorHAnsi" w:cs="Arial"/>
                <w:sz w:val="22"/>
                <w:szCs w:val="22"/>
                <w:lang w:val="en-GB"/>
              </w:rPr>
            </w:pPr>
          </w:p>
        </w:tc>
        <w:tc>
          <w:tcPr>
            <w:tcW w:w="607" w:type="dxa"/>
            <w:shd w:val="clear" w:color="auto" w:fill="D9D9D9" w:themeFill="background1" w:themeFillShade="D9"/>
            <w:vAlign w:val="center"/>
          </w:tcPr>
          <w:p w14:paraId="1159878B" w14:textId="77777777" w:rsidR="00AD6668" w:rsidRPr="00C86192" w:rsidRDefault="00AD6668" w:rsidP="009A5C89">
            <w:pPr>
              <w:pStyle w:val="ListBullet1"/>
              <w:numPr>
                <w:ilvl w:val="0"/>
                <w:numId w:val="0"/>
              </w:numPr>
              <w:spacing w:before="120" w:after="120"/>
              <w:jc w:val="left"/>
              <w:rPr>
                <w:rFonts w:asciiTheme="minorHAnsi" w:hAnsiTheme="minorHAnsi" w:cs="Arial"/>
                <w:sz w:val="22"/>
                <w:szCs w:val="22"/>
                <w:lang w:val="en-GB"/>
              </w:rPr>
            </w:pPr>
            <w:r w:rsidRPr="00C86192">
              <w:rPr>
                <w:rFonts w:asciiTheme="minorHAnsi" w:hAnsiTheme="minorHAnsi" w:cs="Arial"/>
                <w:sz w:val="22"/>
                <w:szCs w:val="22"/>
                <w:lang w:val="en-GB"/>
              </w:rPr>
              <w:t>1.</w:t>
            </w:r>
            <w:r w:rsidR="009A5C89" w:rsidRPr="00C86192">
              <w:rPr>
                <w:rFonts w:asciiTheme="minorHAnsi" w:hAnsiTheme="minorHAnsi" w:cs="Arial"/>
                <w:sz w:val="22"/>
                <w:szCs w:val="22"/>
                <w:lang w:val="en-GB"/>
              </w:rPr>
              <w:t>1</w:t>
            </w:r>
          </w:p>
        </w:tc>
        <w:tc>
          <w:tcPr>
            <w:tcW w:w="5733" w:type="dxa"/>
            <w:shd w:val="clear" w:color="auto" w:fill="FFFFFF" w:themeFill="background1"/>
            <w:vAlign w:val="center"/>
          </w:tcPr>
          <w:p w14:paraId="32B197FE" w14:textId="77777777" w:rsidR="00AD6668" w:rsidRPr="00CC0A7F" w:rsidRDefault="00E951DE" w:rsidP="00125A76">
            <w:pPr>
              <w:pStyle w:val="ListBullet1"/>
              <w:numPr>
                <w:ilvl w:val="0"/>
                <w:numId w:val="0"/>
              </w:numPr>
              <w:spacing w:before="120" w:after="120"/>
              <w:rPr>
                <w:rFonts w:asciiTheme="minorHAnsi" w:hAnsiTheme="minorHAnsi" w:cs="Arial"/>
                <w:sz w:val="22"/>
                <w:szCs w:val="22"/>
                <w:lang w:val="en-GB"/>
              </w:rPr>
            </w:pPr>
            <w:r w:rsidRPr="00CC0A7F">
              <w:rPr>
                <w:rFonts w:asciiTheme="minorHAnsi" w:hAnsiTheme="minorHAnsi" w:cs="Arial"/>
                <w:sz w:val="22"/>
                <w:szCs w:val="22"/>
                <w:lang w:val="en-GB"/>
              </w:rPr>
              <w:t>Overall integration, coherence and articulation of the different features proposed; robustn</w:t>
            </w:r>
            <w:r w:rsidR="00125A76">
              <w:rPr>
                <w:rFonts w:asciiTheme="minorHAnsi" w:hAnsiTheme="minorHAnsi" w:cs="Arial"/>
                <w:sz w:val="22"/>
                <w:szCs w:val="22"/>
                <w:lang w:val="en-GB"/>
              </w:rPr>
              <w:t>ess of the conceptual framework; description of setting-up processes and methodolo</w:t>
            </w:r>
            <w:r w:rsidR="00770374">
              <w:rPr>
                <w:rFonts w:asciiTheme="minorHAnsi" w:hAnsiTheme="minorHAnsi" w:cs="Arial"/>
                <w:sz w:val="22"/>
                <w:szCs w:val="22"/>
                <w:lang w:val="en-GB"/>
              </w:rPr>
              <w:t>gy; estimate of timings and number of consulting days.</w:t>
            </w:r>
          </w:p>
        </w:tc>
        <w:tc>
          <w:tcPr>
            <w:tcW w:w="1399" w:type="dxa"/>
            <w:shd w:val="clear" w:color="auto" w:fill="FFFFFF" w:themeFill="background1"/>
            <w:vAlign w:val="center"/>
          </w:tcPr>
          <w:p w14:paraId="6220C376" w14:textId="77777777" w:rsidR="00AD6668" w:rsidRPr="00C86192" w:rsidRDefault="00465678" w:rsidP="00917AD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15</w:t>
            </w:r>
          </w:p>
        </w:tc>
        <w:tc>
          <w:tcPr>
            <w:tcW w:w="1399" w:type="dxa"/>
            <w:shd w:val="clear" w:color="auto" w:fill="FFFFFF" w:themeFill="background1"/>
            <w:vAlign w:val="center"/>
          </w:tcPr>
          <w:p w14:paraId="1DF77E0E" w14:textId="77777777" w:rsidR="00AD6668" w:rsidRPr="00C86192" w:rsidRDefault="00A051CA" w:rsidP="00917AD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11</w:t>
            </w:r>
          </w:p>
        </w:tc>
      </w:tr>
      <w:tr w:rsidR="00C86192" w:rsidRPr="00C86192" w14:paraId="3D10741C" w14:textId="77777777" w:rsidTr="00B75D76">
        <w:tc>
          <w:tcPr>
            <w:tcW w:w="395" w:type="dxa"/>
            <w:shd w:val="clear" w:color="auto" w:fill="D9D9D9" w:themeFill="background1" w:themeFillShade="D9"/>
            <w:vAlign w:val="center"/>
          </w:tcPr>
          <w:p w14:paraId="6527D8B4" w14:textId="77777777" w:rsidR="00AD6668" w:rsidRPr="00C86192" w:rsidRDefault="00AD6668" w:rsidP="00917AD6">
            <w:pPr>
              <w:pStyle w:val="ListBullet1"/>
              <w:numPr>
                <w:ilvl w:val="0"/>
                <w:numId w:val="0"/>
              </w:numPr>
              <w:spacing w:before="120" w:after="120"/>
              <w:jc w:val="left"/>
              <w:rPr>
                <w:rFonts w:asciiTheme="minorHAnsi" w:hAnsiTheme="minorHAnsi" w:cs="Arial"/>
                <w:sz w:val="22"/>
                <w:szCs w:val="22"/>
                <w:lang w:val="en-GB"/>
              </w:rPr>
            </w:pPr>
          </w:p>
        </w:tc>
        <w:tc>
          <w:tcPr>
            <w:tcW w:w="607" w:type="dxa"/>
            <w:shd w:val="clear" w:color="auto" w:fill="D9D9D9" w:themeFill="background1" w:themeFillShade="D9"/>
            <w:vAlign w:val="center"/>
          </w:tcPr>
          <w:p w14:paraId="44B16441" w14:textId="77777777" w:rsidR="00AD6668" w:rsidRPr="00C86192" w:rsidRDefault="00AD6668" w:rsidP="009A5C89">
            <w:pPr>
              <w:pStyle w:val="ListBullet1"/>
              <w:numPr>
                <w:ilvl w:val="0"/>
                <w:numId w:val="0"/>
              </w:numPr>
              <w:spacing w:before="120" w:after="120"/>
              <w:jc w:val="left"/>
              <w:rPr>
                <w:rFonts w:asciiTheme="minorHAnsi" w:hAnsiTheme="minorHAnsi" w:cs="Arial"/>
                <w:sz w:val="22"/>
                <w:szCs w:val="22"/>
                <w:lang w:val="en-GB"/>
              </w:rPr>
            </w:pPr>
            <w:r w:rsidRPr="00C86192">
              <w:rPr>
                <w:rFonts w:asciiTheme="minorHAnsi" w:hAnsiTheme="minorHAnsi" w:cs="Arial"/>
                <w:sz w:val="22"/>
                <w:szCs w:val="22"/>
                <w:lang w:val="en-GB"/>
              </w:rPr>
              <w:t>1.</w:t>
            </w:r>
            <w:r w:rsidR="009A5C89" w:rsidRPr="00C86192">
              <w:rPr>
                <w:rFonts w:asciiTheme="minorHAnsi" w:hAnsiTheme="minorHAnsi" w:cs="Arial"/>
                <w:sz w:val="22"/>
                <w:szCs w:val="22"/>
                <w:lang w:val="en-GB"/>
              </w:rPr>
              <w:t>2</w:t>
            </w:r>
          </w:p>
        </w:tc>
        <w:tc>
          <w:tcPr>
            <w:tcW w:w="5733" w:type="dxa"/>
            <w:shd w:val="clear" w:color="auto" w:fill="FFFFFF" w:themeFill="background1"/>
            <w:vAlign w:val="center"/>
          </w:tcPr>
          <w:p w14:paraId="645FFCE9" w14:textId="77777777" w:rsidR="00E951DE" w:rsidRPr="00CC0A7F" w:rsidRDefault="00E951DE" w:rsidP="00E951DE">
            <w:pPr>
              <w:pStyle w:val="ListBullet1"/>
              <w:numPr>
                <w:ilvl w:val="0"/>
                <w:numId w:val="0"/>
              </w:numPr>
              <w:spacing w:before="120" w:after="120"/>
              <w:rPr>
                <w:rFonts w:asciiTheme="minorHAnsi" w:hAnsiTheme="minorHAnsi" w:cs="Arial"/>
                <w:sz w:val="22"/>
                <w:szCs w:val="22"/>
                <w:lang w:val="en-GB"/>
              </w:rPr>
            </w:pPr>
            <w:r w:rsidRPr="00CC0A7F">
              <w:rPr>
                <w:rFonts w:asciiTheme="minorHAnsi" w:hAnsiTheme="minorHAnsi" w:cs="Arial"/>
                <w:sz w:val="22"/>
                <w:szCs w:val="22"/>
                <w:lang w:val="en-GB"/>
              </w:rPr>
              <w:t xml:space="preserve">Technology integration and enhancement: technologically embedded solutions, online tools and data on several devices, integration with Share Point and other MS applications, expansion to online collaborative features. </w:t>
            </w:r>
          </w:p>
        </w:tc>
        <w:tc>
          <w:tcPr>
            <w:tcW w:w="1399" w:type="dxa"/>
            <w:shd w:val="clear" w:color="auto" w:fill="FFFFFF" w:themeFill="background1"/>
            <w:vAlign w:val="center"/>
          </w:tcPr>
          <w:p w14:paraId="517654AE" w14:textId="77777777" w:rsidR="00AD6668" w:rsidRPr="00C86192" w:rsidRDefault="00A051CA" w:rsidP="00917AD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6</w:t>
            </w:r>
          </w:p>
        </w:tc>
        <w:tc>
          <w:tcPr>
            <w:tcW w:w="1399" w:type="dxa"/>
            <w:shd w:val="clear" w:color="auto" w:fill="FFFFFF" w:themeFill="background1"/>
            <w:vAlign w:val="center"/>
          </w:tcPr>
          <w:p w14:paraId="439B6F7A" w14:textId="77777777" w:rsidR="00AD6668" w:rsidRPr="00C86192" w:rsidRDefault="00A051CA" w:rsidP="00917AD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4</w:t>
            </w:r>
          </w:p>
        </w:tc>
      </w:tr>
      <w:tr w:rsidR="00C86192" w:rsidRPr="00C86192" w14:paraId="50CA4716" w14:textId="77777777" w:rsidTr="00B75D76">
        <w:tc>
          <w:tcPr>
            <w:tcW w:w="395" w:type="dxa"/>
            <w:shd w:val="clear" w:color="auto" w:fill="D9D9D9" w:themeFill="background1" w:themeFillShade="D9"/>
            <w:vAlign w:val="center"/>
          </w:tcPr>
          <w:p w14:paraId="3B433961" w14:textId="77777777" w:rsidR="00E951DE" w:rsidRPr="00C86192" w:rsidRDefault="00E951DE" w:rsidP="00770374">
            <w:pPr>
              <w:pStyle w:val="ListBullet1"/>
              <w:numPr>
                <w:ilvl w:val="0"/>
                <w:numId w:val="0"/>
              </w:numPr>
              <w:spacing w:before="120" w:after="120"/>
              <w:jc w:val="left"/>
              <w:rPr>
                <w:rFonts w:asciiTheme="minorHAnsi" w:hAnsiTheme="minorHAnsi" w:cs="Arial"/>
                <w:sz w:val="22"/>
                <w:szCs w:val="22"/>
                <w:lang w:val="en-GB"/>
              </w:rPr>
            </w:pPr>
          </w:p>
        </w:tc>
        <w:tc>
          <w:tcPr>
            <w:tcW w:w="607" w:type="dxa"/>
            <w:shd w:val="clear" w:color="auto" w:fill="D9D9D9" w:themeFill="background1" w:themeFillShade="D9"/>
            <w:vAlign w:val="center"/>
          </w:tcPr>
          <w:p w14:paraId="1CFD0499" w14:textId="77777777" w:rsidR="00E951DE" w:rsidRPr="00C86192" w:rsidRDefault="00E951DE" w:rsidP="00770374">
            <w:pPr>
              <w:pStyle w:val="ListBullet1"/>
              <w:numPr>
                <w:ilvl w:val="0"/>
                <w:numId w:val="0"/>
              </w:numPr>
              <w:spacing w:before="120" w:after="120"/>
              <w:jc w:val="left"/>
              <w:rPr>
                <w:rFonts w:asciiTheme="minorHAnsi" w:hAnsiTheme="minorHAnsi" w:cs="Arial"/>
                <w:sz w:val="22"/>
                <w:szCs w:val="22"/>
                <w:lang w:val="en-GB"/>
              </w:rPr>
            </w:pPr>
            <w:r w:rsidRPr="00C86192">
              <w:rPr>
                <w:rFonts w:asciiTheme="minorHAnsi" w:hAnsiTheme="minorHAnsi" w:cs="Arial"/>
                <w:sz w:val="22"/>
                <w:szCs w:val="22"/>
                <w:lang w:val="en-GB"/>
              </w:rPr>
              <w:t>1.3</w:t>
            </w:r>
          </w:p>
        </w:tc>
        <w:tc>
          <w:tcPr>
            <w:tcW w:w="5733" w:type="dxa"/>
            <w:shd w:val="clear" w:color="auto" w:fill="FFFFFF" w:themeFill="background1"/>
            <w:vAlign w:val="center"/>
          </w:tcPr>
          <w:p w14:paraId="31A62A90" w14:textId="77777777" w:rsidR="00E951DE" w:rsidRPr="00CC0A7F" w:rsidRDefault="00E951DE" w:rsidP="00770374">
            <w:pPr>
              <w:pStyle w:val="ListBullet1"/>
              <w:numPr>
                <w:ilvl w:val="0"/>
                <w:numId w:val="0"/>
              </w:numPr>
              <w:spacing w:before="120" w:after="120"/>
              <w:rPr>
                <w:rFonts w:asciiTheme="minorHAnsi" w:hAnsiTheme="minorHAnsi" w:cs="Arial"/>
                <w:sz w:val="22"/>
                <w:szCs w:val="22"/>
                <w:lang w:val="en-GB"/>
              </w:rPr>
            </w:pPr>
            <w:r w:rsidRPr="00CC0A7F">
              <w:rPr>
                <w:rFonts w:asciiTheme="minorHAnsi" w:hAnsiTheme="minorHAnsi" w:cs="Arial"/>
                <w:sz w:val="22"/>
                <w:szCs w:val="22"/>
                <w:lang w:val="en-GB"/>
              </w:rPr>
              <w:t>Adaptability, customisation and user friendliness</w:t>
            </w:r>
            <w:r w:rsidR="00465678">
              <w:rPr>
                <w:rFonts w:asciiTheme="minorHAnsi" w:hAnsiTheme="minorHAnsi" w:cs="Arial"/>
                <w:sz w:val="22"/>
                <w:szCs w:val="22"/>
                <w:lang w:val="en-GB"/>
              </w:rPr>
              <w:t xml:space="preserve"> </w:t>
            </w:r>
            <w:r w:rsidRPr="00CC0A7F">
              <w:rPr>
                <w:rFonts w:asciiTheme="minorHAnsi" w:hAnsiTheme="minorHAnsi" w:cs="Arial"/>
                <w:sz w:val="22"/>
                <w:szCs w:val="22"/>
                <w:lang w:val="en-GB"/>
              </w:rPr>
              <w:t>of tools, parameters and procedures (incl. terminology, libraries,</w:t>
            </w:r>
            <w:r w:rsidR="00C86192" w:rsidRPr="00CC0A7F">
              <w:rPr>
                <w:rFonts w:asciiTheme="minorHAnsi" w:hAnsiTheme="minorHAnsi" w:cs="Arial"/>
                <w:sz w:val="22"/>
                <w:szCs w:val="22"/>
                <w:lang w:val="en-GB"/>
              </w:rPr>
              <w:t xml:space="preserve"> workflows,</w:t>
            </w:r>
            <w:r w:rsidRPr="00CC0A7F">
              <w:rPr>
                <w:rFonts w:asciiTheme="minorHAnsi" w:hAnsiTheme="minorHAnsi" w:cs="Arial"/>
                <w:sz w:val="22"/>
                <w:szCs w:val="22"/>
                <w:lang w:val="en-GB"/>
              </w:rPr>
              <w:t xml:space="preserve"> etc.)</w:t>
            </w:r>
          </w:p>
        </w:tc>
        <w:tc>
          <w:tcPr>
            <w:tcW w:w="1399" w:type="dxa"/>
            <w:shd w:val="clear" w:color="auto" w:fill="FFFFFF" w:themeFill="background1"/>
            <w:vAlign w:val="center"/>
          </w:tcPr>
          <w:p w14:paraId="4EBBAD01" w14:textId="77777777" w:rsidR="00E951DE" w:rsidRPr="00C86192" w:rsidRDefault="00A051CA" w:rsidP="00770374">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6</w:t>
            </w:r>
          </w:p>
        </w:tc>
        <w:tc>
          <w:tcPr>
            <w:tcW w:w="1399" w:type="dxa"/>
            <w:shd w:val="clear" w:color="auto" w:fill="FFFFFF" w:themeFill="background1"/>
            <w:vAlign w:val="center"/>
          </w:tcPr>
          <w:p w14:paraId="10E8DF46" w14:textId="77777777" w:rsidR="00E951DE" w:rsidRPr="00C86192" w:rsidRDefault="00A051CA" w:rsidP="00770374">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4</w:t>
            </w:r>
          </w:p>
        </w:tc>
      </w:tr>
      <w:tr w:rsidR="00C86192" w:rsidRPr="00C86192" w14:paraId="495311A5" w14:textId="77777777" w:rsidTr="00B75D76">
        <w:tc>
          <w:tcPr>
            <w:tcW w:w="395" w:type="dxa"/>
            <w:shd w:val="clear" w:color="auto" w:fill="D9D9D9" w:themeFill="background1" w:themeFillShade="D9"/>
            <w:vAlign w:val="center"/>
          </w:tcPr>
          <w:p w14:paraId="7B15FBD8" w14:textId="77777777" w:rsidR="00E951DE" w:rsidRPr="00C86192" w:rsidRDefault="00E951DE" w:rsidP="00770374">
            <w:pPr>
              <w:pStyle w:val="ListBullet1"/>
              <w:numPr>
                <w:ilvl w:val="0"/>
                <w:numId w:val="0"/>
              </w:numPr>
              <w:spacing w:before="120" w:after="120"/>
              <w:jc w:val="left"/>
              <w:rPr>
                <w:rFonts w:asciiTheme="minorHAnsi" w:hAnsiTheme="minorHAnsi" w:cs="Arial"/>
                <w:sz w:val="22"/>
                <w:szCs w:val="22"/>
                <w:lang w:val="en-GB"/>
              </w:rPr>
            </w:pPr>
          </w:p>
        </w:tc>
        <w:tc>
          <w:tcPr>
            <w:tcW w:w="607" w:type="dxa"/>
            <w:shd w:val="clear" w:color="auto" w:fill="D9D9D9" w:themeFill="background1" w:themeFillShade="D9"/>
            <w:vAlign w:val="center"/>
          </w:tcPr>
          <w:p w14:paraId="156B7A0B" w14:textId="77777777" w:rsidR="00E951DE" w:rsidRPr="00C86192" w:rsidRDefault="00E951DE" w:rsidP="00C86192">
            <w:pPr>
              <w:pStyle w:val="ListBullet1"/>
              <w:numPr>
                <w:ilvl w:val="0"/>
                <w:numId w:val="0"/>
              </w:numPr>
              <w:spacing w:before="120" w:after="120"/>
              <w:jc w:val="left"/>
              <w:rPr>
                <w:rFonts w:asciiTheme="minorHAnsi" w:hAnsiTheme="minorHAnsi" w:cs="Arial"/>
                <w:sz w:val="22"/>
                <w:szCs w:val="22"/>
                <w:lang w:val="en-GB"/>
              </w:rPr>
            </w:pPr>
            <w:r w:rsidRPr="00C86192">
              <w:rPr>
                <w:rFonts w:asciiTheme="minorHAnsi" w:hAnsiTheme="minorHAnsi" w:cs="Arial"/>
                <w:sz w:val="22"/>
                <w:szCs w:val="22"/>
                <w:lang w:val="en-GB"/>
              </w:rPr>
              <w:t>1.</w:t>
            </w:r>
            <w:r w:rsidR="00C86192" w:rsidRPr="00C86192">
              <w:rPr>
                <w:rFonts w:asciiTheme="minorHAnsi" w:hAnsiTheme="minorHAnsi" w:cs="Arial"/>
                <w:sz w:val="22"/>
                <w:szCs w:val="22"/>
                <w:lang w:val="en-GB"/>
              </w:rPr>
              <w:t>4</w:t>
            </w:r>
          </w:p>
        </w:tc>
        <w:tc>
          <w:tcPr>
            <w:tcW w:w="5733" w:type="dxa"/>
            <w:shd w:val="clear" w:color="auto" w:fill="FFFFFF" w:themeFill="background1"/>
            <w:vAlign w:val="center"/>
          </w:tcPr>
          <w:p w14:paraId="5735B31D" w14:textId="77777777" w:rsidR="00E951DE" w:rsidRPr="00CC0A7F" w:rsidRDefault="001F5C24" w:rsidP="00C86192">
            <w:pPr>
              <w:pStyle w:val="ListBullet1"/>
              <w:numPr>
                <w:ilvl w:val="0"/>
                <w:numId w:val="0"/>
              </w:numPr>
              <w:spacing w:before="120" w:after="120"/>
              <w:rPr>
                <w:rFonts w:asciiTheme="minorHAnsi" w:hAnsiTheme="minorHAnsi" w:cs="Arial"/>
                <w:sz w:val="22"/>
                <w:szCs w:val="22"/>
                <w:lang w:val="en-GB"/>
              </w:rPr>
            </w:pPr>
            <w:r w:rsidRPr="00CC0A7F">
              <w:rPr>
                <w:rFonts w:asciiTheme="minorHAnsi" w:hAnsiTheme="minorHAnsi" w:cs="Arial"/>
                <w:sz w:val="22"/>
                <w:szCs w:val="22"/>
                <w:lang w:val="en-GB"/>
              </w:rPr>
              <w:t xml:space="preserve">Extension and variety of </w:t>
            </w:r>
            <w:r w:rsidR="00C86192" w:rsidRPr="00CC0A7F">
              <w:rPr>
                <w:rFonts w:asciiTheme="minorHAnsi" w:hAnsiTheme="minorHAnsi" w:cs="Arial"/>
                <w:sz w:val="22"/>
                <w:szCs w:val="22"/>
                <w:lang w:val="en-GB"/>
              </w:rPr>
              <w:t xml:space="preserve">pre-defined </w:t>
            </w:r>
            <w:r w:rsidRPr="00CC0A7F">
              <w:rPr>
                <w:rFonts w:asciiTheme="minorHAnsi" w:hAnsiTheme="minorHAnsi" w:cs="Arial"/>
                <w:sz w:val="22"/>
                <w:szCs w:val="22"/>
                <w:lang w:val="en-GB"/>
              </w:rPr>
              <w:t xml:space="preserve">job </w:t>
            </w:r>
            <w:r w:rsidR="00C86192" w:rsidRPr="00CC0A7F">
              <w:rPr>
                <w:rFonts w:asciiTheme="minorHAnsi" w:hAnsiTheme="minorHAnsi" w:cs="Arial"/>
                <w:sz w:val="22"/>
                <w:szCs w:val="22"/>
                <w:lang w:val="en-GB"/>
              </w:rPr>
              <w:t xml:space="preserve">functional </w:t>
            </w:r>
            <w:r w:rsidRPr="00CC0A7F">
              <w:rPr>
                <w:rFonts w:asciiTheme="minorHAnsi" w:hAnsiTheme="minorHAnsi" w:cs="Arial"/>
                <w:sz w:val="22"/>
                <w:szCs w:val="22"/>
                <w:lang w:val="en-GB"/>
              </w:rPr>
              <w:t>profile</w:t>
            </w:r>
            <w:r w:rsidR="00C86192" w:rsidRPr="00CC0A7F">
              <w:rPr>
                <w:rFonts w:asciiTheme="minorHAnsi" w:hAnsiTheme="minorHAnsi" w:cs="Arial"/>
                <w:sz w:val="22"/>
                <w:szCs w:val="22"/>
                <w:lang w:val="en-GB"/>
              </w:rPr>
              <w:t>s</w:t>
            </w:r>
            <w:r w:rsidRPr="00CC0A7F">
              <w:rPr>
                <w:rFonts w:asciiTheme="minorHAnsi" w:hAnsiTheme="minorHAnsi" w:cs="Arial"/>
                <w:sz w:val="22"/>
                <w:szCs w:val="22"/>
                <w:lang w:val="en-GB"/>
              </w:rPr>
              <w:t xml:space="preserve"> and competencies and subsequent adaptability to EEA specific needs and context.</w:t>
            </w:r>
          </w:p>
        </w:tc>
        <w:tc>
          <w:tcPr>
            <w:tcW w:w="1399" w:type="dxa"/>
            <w:shd w:val="clear" w:color="auto" w:fill="FFFFFF" w:themeFill="background1"/>
            <w:vAlign w:val="center"/>
          </w:tcPr>
          <w:p w14:paraId="42254570" w14:textId="77777777" w:rsidR="00E951DE" w:rsidRPr="00C86192" w:rsidRDefault="00465678" w:rsidP="00770374">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5</w:t>
            </w:r>
          </w:p>
        </w:tc>
        <w:tc>
          <w:tcPr>
            <w:tcW w:w="1399" w:type="dxa"/>
            <w:shd w:val="clear" w:color="auto" w:fill="FFFFFF" w:themeFill="background1"/>
            <w:vAlign w:val="center"/>
          </w:tcPr>
          <w:p w14:paraId="2AE5B4BA" w14:textId="77777777" w:rsidR="00E951DE" w:rsidRPr="00C86192" w:rsidRDefault="00465678" w:rsidP="00770374">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3</w:t>
            </w:r>
          </w:p>
        </w:tc>
      </w:tr>
      <w:tr w:rsidR="00C86192" w:rsidRPr="00C86192" w14:paraId="54A95F40" w14:textId="77777777" w:rsidTr="00B75D76">
        <w:tc>
          <w:tcPr>
            <w:tcW w:w="395" w:type="dxa"/>
            <w:shd w:val="clear" w:color="auto" w:fill="D9D9D9" w:themeFill="background1" w:themeFillShade="D9"/>
            <w:vAlign w:val="center"/>
          </w:tcPr>
          <w:p w14:paraId="12D8CB20" w14:textId="77777777" w:rsidR="001F5C24" w:rsidRPr="00C86192" w:rsidRDefault="001F5C24" w:rsidP="00770374">
            <w:pPr>
              <w:pStyle w:val="ListBullet1"/>
              <w:numPr>
                <w:ilvl w:val="0"/>
                <w:numId w:val="0"/>
              </w:numPr>
              <w:spacing w:before="120" w:after="120"/>
              <w:jc w:val="left"/>
              <w:rPr>
                <w:rFonts w:asciiTheme="minorHAnsi" w:hAnsiTheme="minorHAnsi" w:cs="Arial"/>
                <w:sz w:val="22"/>
                <w:szCs w:val="22"/>
                <w:lang w:val="en-GB"/>
              </w:rPr>
            </w:pPr>
          </w:p>
        </w:tc>
        <w:tc>
          <w:tcPr>
            <w:tcW w:w="607" w:type="dxa"/>
            <w:shd w:val="clear" w:color="auto" w:fill="D9D9D9" w:themeFill="background1" w:themeFillShade="D9"/>
            <w:vAlign w:val="center"/>
          </w:tcPr>
          <w:p w14:paraId="21F5387C" w14:textId="77777777" w:rsidR="001F5C24" w:rsidRPr="00C86192" w:rsidRDefault="001F5C24" w:rsidP="00770374">
            <w:pPr>
              <w:pStyle w:val="ListBullet1"/>
              <w:numPr>
                <w:ilvl w:val="0"/>
                <w:numId w:val="0"/>
              </w:numPr>
              <w:spacing w:before="120" w:after="120"/>
              <w:jc w:val="left"/>
              <w:rPr>
                <w:rFonts w:asciiTheme="minorHAnsi" w:hAnsiTheme="minorHAnsi" w:cs="Arial"/>
                <w:sz w:val="22"/>
                <w:szCs w:val="22"/>
                <w:lang w:val="en-GB"/>
              </w:rPr>
            </w:pPr>
            <w:r w:rsidRPr="00C86192">
              <w:rPr>
                <w:rFonts w:asciiTheme="minorHAnsi" w:hAnsiTheme="minorHAnsi" w:cs="Arial"/>
                <w:sz w:val="22"/>
                <w:szCs w:val="22"/>
                <w:lang w:val="en-GB"/>
              </w:rPr>
              <w:t>1.</w:t>
            </w:r>
            <w:r w:rsidR="00C86192" w:rsidRPr="00C86192">
              <w:rPr>
                <w:rFonts w:asciiTheme="minorHAnsi" w:hAnsiTheme="minorHAnsi" w:cs="Arial"/>
                <w:sz w:val="22"/>
                <w:szCs w:val="22"/>
                <w:lang w:val="en-GB"/>
              </w:rPr>
              <w:t>5</w:t>
            </w:r>
          </w:p>
        </w:tc>
        <w:tc>
          <w:tcPr>
            <w:tcW w:w="5733" w:type="dxa"/>
            <w:shd w:val="clear" w:color="auto" w:fill="FFFFFF" w:themeFill="background1"/>
            <w:vAlign w:val="center"/>
          </w:tcPr>
          <w:p w14:paraId="5784A6D1" w14:textId="77777777" w:rsidR="001F5C24" w:rsidRPr="00CC0A7F" w:rsidRDefault="001F5C24" w:rsidP="00770374">
            <w:pPr>
              <w:pStyle w:val="ListBullet1"/>
              <w:numPr>
                <w:ilvl w:val="0"/>
                <w:numId w:val="0"/>
              </w:numPr>
              <w:spacing w:before="120" w:after="120"/>
              <w:rPr>
                <w:rFonts w:asciiTheme="minorHAnsi" w:hAnsiTheme="minorHAnsi" w:cs="Arial"/>
                <w:sz w:val="22"/>
                <w:szCs w:val="22"/>
                <w:lang w:val="en-GB"/>
              </w:rPr>
            </w:pPr>
            <w:r w:rsidRPr="00CC0A7F">
              <w:rPr>
                <w:rFonts w:asciiTheme="minorHAnsi" w:hAnsiTheme="minorHAnsi" w:cs="Arial"/>
                <w:sz w:val="22"/>
                <w:szCs w:val="22"/>
                <w:lang w:val="en-GB"/>
              </w:rPr>
              <w:t xml:space="preserve">Quality of support mechanisms (tutorials, training, helpdesk, etc.)  </w:t>
            </w:r>
          </w:p>
        </w:tc>
        <w:tc>
          <w:tcPr>
            <w:tcW w:w="1399" w:type="dxa"/>
            <w:shd w:val="clear" w:color="auto" w:fill="FFFFFF" w:themeFill="background1"/>
            <w:vAlign w:val="center"/>
          </w:tcPr>
          <w:p w14:paraId="17007B7E" w14:textId="77777777" w:rsidR="001F5C24" w:rsidRPr="00C86192" w:rsidRDefault="00465678" w:rsidP="00770374">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5</w:t>
            </w:r>
          </w:p>
        </w:tc>
        <w:tc>
          <w:tcPr>
            <w:tcW w:w="1399" w:type="dxa"/>
            <w:shd w:val="clear" w:color="auto" w:fill="FFFFFF" w:themeFill="background1"/>
            <w:vAlign w:val="center"/>
          </w:tcPr>
          <w:p w14:paraId="088E42E7" w14:textId="77777777" w:rsidR="001F5C24" w:rsidRPr="00C86192" w:rsidRDefault="00465678" w:rsidP="00770374">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3</w:t>
            </w:r>
          </w:p>
        </w:tc>
      </w:tr>
      <w:tr w:rsidR="00C86192" w:rsidRPr="00C86192" w14:paraId="2CC9DC4C" w14:textId="77777777" w:rsidTr="00B75D76">
        <w:tc>
          <w:tcPr>
            <w:tcW w:w="395" w:type="dxa"/>
            <w:shd w:val="clear" w:color="auto" w:fill="D9D9D9" w:themeFill="background1" w:themeFillShade="D9"/>
            <w:vAlign w:val="center"/>
          </w:tcPr>
          <w:p w14:paraId="00B7F119" w14:textId="77777777" w:rsidR="00AD6668" w:rsidRPr="00C86192" w:rsidRDefault="00AD6668" w:rsidP="00917AD6">
            <w:pPr>
              <w:pStyle w:val="ListBullet1"/>
              <w:numPr>
                <w:ilvl w:val="0"/>
                <w:numId w:val="0"/>
              </w:numPr>
              <w:spacing w:before="120" w:after="120"/>
              <w:jc w:val="left"/>
              <w:rPr>
                <w:rFonts w:asciiTheme="minorHAnsi" w:hAnsiTheme="minorHAnsi" w:cs="Arial"/>
                <w:sz w:val="22"/>
                <w:szCs w:val="22"/>
                <w:lang w:val="en-GB"/>
              </w:rPr>
            </w:pPr>
          </w:p>
        </w:tc>
        <w:tc>
          <w:tcPr>
            <w:tcW w:w="607" w:type="dxa"/>
            <w:shd w:val="clear" w:color="auto" w:fill="D9D9D9" w:themeFill="background1" w:themeFillShade="D9"/>
            <w:vAlign w:val="center"/>
          </w:tcPr>
          <w:p w14:paraId="2BA8ED34" w14:textId="77777777" w:rsidR="00AD6668" w:rsidRPr="00C86192" w:rsidRDefault="00EF5101" w:rsidP="009A5C89">
            <w:pPr>
              <w:pStyle w:val="ListBullet1"/>
              <w:numPr>
                <w:ilvl w:val="0"/>
                <w:numId w:val="0"/>
              </w:numPr>
              <w:spacing w:before="120" w:after="120"/>
              <w:jc w:val="left"/>
              <w:rPr>
                <w:rFonts w:asciiTheme="minorHAnsi" w:hAnsiTheme="minorHAnsi" w:cs="Arial"/>
                <w:sz w:val="22"/>
                <w:szCs w:val="22"/>
                <w:lang w:val="en-GB"/>
              </w:rPr>
            </w:pPr>
            <w:r w:rsidRPr="00C86192">
              <w:rPr>
                <w:rFonts w:asciiTheme="minorHAnsi" w:hAnsiTheme="minorHAnsi" w:cs="Arial"/>
                <w:sz w:val="22"/>
                <w:szCs w:val="22"/>
                <w:lang w:val="en-GB"/>
              </w:rPr>
              <w:t>1.</w:t>
            </w:r>
            <w:r w:rsidR="00C86192" w:rsidRPr="00C86192">
              <w:rPr>
                <w:rFonts w:asciiTheme="minorHAnsi" w:hAnsiTheme="minorHAnsi" w:cs="Arial"/>
                <w:sz w:val="22"/>
                <w:szCs w:val="22"/>
                <w:lang w:val="en-GB"/>
              </w:rPr>
              <w:t>6</w:t>
            </w:r>
          </w:p>
        </w:tc>
        <w:tc>
          <w:tcPr>
            <w:tcW w:w="5733" w:type="dxa"/>
            <w:shd w:val="clear" w:color="auto" w:fill="FFFFFF" w:themeFill="background1"/>
            <w:vAlign w:val="center"/>
          </w:tcPr>
          <w:p w14:paraId="0AA0A250" w14:textId="110DE7B1" w:rsidR="009A5C89" w:rsidRPr="00CC0A7F" w:rsidRDefault="001F5C24" w:rsidP="00435336">
            <w:pPr>
              <w:pStyle w:val="ListBullet1"/>
              <w:numPr>
                <w:ilvl w:val="0"/>
                <w:numId w:val="0"/>
              </w:numPr>
              <w:spacing w:before="120" w:after="120"/>
              <w:rPr>
                <w:rFonts w:asciiTheme="minorHAnsi" w:hAnsiTheme="minorHAnsi" w:cs="Arial"/>
                <w:sz w:val="22"/>
                <w:szCs w:val="22"/>
                <w:lang w:val="en-GB"/>
              </w:rPr>
            </w:pPr>
            <w:r w:rsidRPr="00CC0A7F">
              <w:rPr>
                <w:rFonts w:asciiTheme="minorHAnsi" w:hAnsiTheme="minorHAnsi" w:cs="Arial"/>
                <w:sz w:val="22"/>
                <w:szCs w:val="22"/>
                <w:lang w:val="en-GB"/>
              </w:rPr>
              <w:t xml:space="preserve">Scope of HR-related areas that can integrate </w:t>
            </w:r>
            <w:r w:rsidR="00435336" w:rsidRPr="00CC0A7F">
              <w:rPr>
                <w:rFonts w:asciiTheme="minorHAnsi" w:hAnsiTheme="minorHAnsi" w:cs="Arial"/>
                <w:sz w:val="22"/>
                <w:szCs w:val="22"/>
                <w:lang w:val="en-GB"/>
              </w:rPr>
              <w:t>360</w:t>
            </w:r>
            <w:r w:rsidR="00435336">
              <w:rPr>
                <w:rFonts w:asciiTheme="minorHAnsi" w:hAnsiTheme="minorHAnsi" w:cs="Arial"/>
                <w:sz w:val="22"/>
                <w:szCs w:val="22"/>
                <w:lang w:val="en-GB"/>
              </w:rPr>
              <w:t>°</w:t>
            </w:r>
            <w:r w:rsidR="00435336" w:rsidRPr="00CC0A7F">
              <w:rPr>
                <w:rFonts w:asciiTheme="minorHAnsi" w:hAnsiTheme="minorHAnsi" w:cs="Arial"/>
                <w:sz w:val="22"/>
                <w:szCs w:val="22"/>
                <w:lang w:val="en-GB"/>
              </w:rPr>
              <w:t xml:space="preserve"> </w:t>
            </w:r>
            <w:r w:rsidRPr="00CC0A7F">
              <w:rPr>
                <w:rFonts w:asciiTheme="minorHAnsi" w:hAnsiTheme="minorHAnsi" w:cs="Arial"/>
                <w:sz w:val="22"/>
                <w:szCs w:val="22"/>
                <w:lang w:val="en-GB"/>
              </w:rPr>
              <w:t>Assessments and Competency Framework solutions – and respective framework.</w:t>
            </w:r>
          </w:p>
        </w:tc>
        <w:tc>
          <w:tcPr>
            <w:tcW w:w="1399" w:type="dxa"/>
            <w:shd w:val="clear" w:color="auto" w:fill="FFFFFF" w:themeFill="background1"/>
            <w:vAlign w:val="center"/>
          </w:tcPr>
          <w:p w14:paraId="4F7F7B71" w14:textId="77777777" w:rsidR="00AD6668" w:rsidRPr="00C86192" w:rsidRDefault="00465678" w:rsidP="00917AD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5</w:t>
            </w:r>
          </w:p>
        </w:tc>
        <w:tc>
          <w:tcPr>
            <w:tcW w:w="1399" w:type="dxa"/>
            <w:shd w:val="clear" w:color="auto" w:fill="FFFFFF" w:themeFill="background1"/>
            <w:vAlign w:val="center"/>
          </w:tcPr>
          <w:p w14:paraId="68AF6BDD" w14:textId="77777777" w:rsidR="00AD6668" w:rsidRPr="00C86192" w:rsidRDefault="00465678" w:rsidP="00917AD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3</w:t>
            </w:r>
          </w:p>
        </w:tc>
      </w:tr>
      <w:tr w:rsidR="00EF5101" w:rsidRPr="00CB731B" w14:paraId="6983A62C" w14:textId="77777777" w:rsidTr="00B75D76">
        <w:tc>
          <w:tcPr>
            <w:tcW w:w="1002" w:type="dxa"/>
            <w:gridSpan w:val="2"/>
            <w:shd w:val="clear" w:color="auto" w:fill="D9D9D9" w:themeFill="background1" w:themeFillShade="D9"/>
            <w:vAlign w:val="center"/>
          </w:tcPr>
          <w:p w14:paraId="57150F5F" w14:textId="77777777" w:rsidR="00EF5101" w:rsidRPr="00CB731B" w:rsidRDefault="00EF5101" w:rsidP="00917AD6">
            <w:pPr>
              <w:pStyle w:val="ListBullet1"/>
              <w:numPr>
                <w:ilvl w:val="0"/>
                <w:numId w:val="0"/>
              </w:numPr>
              <w:spacing w:before="120" w:after="120"/>
              <w:jc w:val="left"/>
              <w:rPr>
                <w:rFonts w:asciiTheme="minorHAnsi" w:hAnsiTheme="minorHAnsi" w:cs="Arial"/>
                <w:b/>
                <w:sz w:val="22"/>
                <w:szCs w:val="22"/>
                <w:lang w:val="en-GB"/>
              </w:rPr>
            </w:pPr>
            <w:r w:rsidRPr="00CB731B">
              <w:rPr>
                <w:rFonts w:asciiTheme="minorHAnsi" w:hAnsiTheme="minorHAnsi" w:cs="Arial"/>
                <w:b/>
                <w:sz w:val="22"/>
                <w:szCs w:val="22"/>
                <w:lang w:val="en-GB"/>
              </w:rPr>
              <w:t>2</w:t>
            </w:r>
          </w:p>
        </w:tc>
        <w:tc>
          <w:tcPr>
            <w:tcW w:w="5733" w:type="dxa"/>
            <w:shd w:val="clear" w:color="auto" w:fill="FFFFFF" w:themeFill="background1"/>
            <w:vAlign w:val="center"/>
          </w:tcPr>
          <w:p w14:paraId="5DFB9F74" w14:textId="77777777" w:rsidR="00EF5101" w:rsidRPr="00CB731B" w:rsidRDefault="00FF6CD1" w:rsidP="00FF6CD1">
            <w:pPr>
              <w:pStyle w:val="ListBullet1"/>
              <w:numPr>
                <w:ilvl w:val="0"/>
                <w:numId w:val="0"/>
              </w:numPr>
              <w:spacing w:before="120" w:after="120"/>
              <w:rPr>
                <w:rFonts w:asciiTheme="minorHAnsi" w:hAnsiTheme="minorHAnsi" w:cs="Arial"/>
                <w:b/>
                <w:i/>
                <w:sz w:val="22"/>
                <w:szCs w:val="22"/>
                <w:lang w:val="en-GB"/>
              </w:rPr>
            </w:pPr>
            <w:r>
              <w:rPr>
                <w:rFonts w:asciiTheme="minorHAnsi" w:hAnsiTheme="minorHAnsi" w:cs="Arial"/>
                <w:b/>
                <w:i/>
                <w:sz w:val="22"/>
                <w:szCs w:val="22"/>
                <w:lang w:val="en-GB"/>
              </w:rPr>
              <w:t xml:space="preserve">Service and </w:t>
            </w:r>
            <w:r w:rsidR="00EF5101" w:rsidRPr="00CB731B">
              <w:rPr>
                <w:rFonts w:asciiTheme="minorHAnsi" w:hAnsiTheme="minorHAnsi" w:cs="Arial"/>
                <w:b/>
                <w:i/>
                <w:sz w:val="22"/>
                <w:szCs w:val="22"/>
                <w:lang w:val="en-GB"/>
              </w:rPr>
              <w:t>contract management in terms of the following items:</w:t>
            </w:r>
          </w:p>
        </w:tc>
        <w:tc>
          <w:tcPr>
            <w:tcW w:w="1399" w:type="dxa"/>
            <w:shd w:val="clear" w:color="auto" w:fill="FFFFFF" w:themeFill="background1"/>
            <w:vAlign w:val="center"/>
          </w:tcPr>
          <w:p w14:paraId="19210D38" w14:textId="77777777" w:rsidR="00EF5101" w:rsidRPr="00CB731B" w:rsidRDefault="00EF5101" w:rsidP="00917AD6">
            <w:pPr>
              <w:pStyle w:val="ListBullet1"/>
              <w:numPr>
                <w:ilvl w:val="0"/>
                <w:numId w:val="0"/>
              </w:numPr>
              <w:spacing w:before="120" w:after="120"/>
              <w:jc w:val="center"/>
              <w:rPr>
                <w:rFonts w:asciiTheme="minorHAnsi" w:hAnsiTheme="minorHAnsi" w:cs="Arial"/>
                <w:b/>
                <w:sz w:val="22"/>
                <w:szCs w:val="22"/>
                <w:lang w:val="en-GB"/>
              </w:rPr>
            </w:pPr>
            <w:r w:rsidRPr="00CB731B">
              <w:rPr>
                <w:rFonts w:asciiTheme="minorHAnsi" w:hAnsiTheme="minorHAnsi" w:cs="Arial"/>
                <w:b/>
                <w:sz w:val="22"/>
                <w:szCs w:val="22"/>
                <w:lang w:val="en-GB"/>
              </w:rPr>
              <w:t>28</w:t>
            </w:r>
          </w:p>
        </w:tc>
        <w:tc>
          <w:tcPr>
            <w:tcW w:w="1399" w:type="dxa"/>
            <w:shd w:val="clear" w:color="auto" w:fill="FFFFFF" w:themeFill="background1"/>
            <w:vAlign w:val="center"/>
          </w:tcPr>
          <w:p w14:paraId="2404DC49" w14:textId="77777777" w:rsidR="00EF5101" w:rsidRPr="00CB731B" w:rsidRDefault="00EF5101" w:rsidP="00917AD6">
            <w:pPr>
              <w:pStyle w:val="ListBullet1"/>
              <w:numPr>
                <w:ilvl w:val="0"/>
                <w:numId w:val="0"/>
              </w:numPr>
              <w:spacing w:before="120" w:after="120"/>
              <w:jc w:val="center"/>
              <w:rPr>
                <w:rFonts w:asciiTheme="minorHAnsi" w:hAnsiTheme="minorHAnsi" w:cs="Arial"/>
                <w:b/>
                <w:sz w:val="22"/>
                <w:szCs w:val="22"/>
                <w:lang w:val="en-GB"/>
              </w:rPr>
            </w:pPr>
            <w:r w:rsidRPr="00CB731B">
              <w:rPr>
                <w:rFonts w:asciiTheme="minorHAnsi" w:hAnsiTheme="minorHAnsi" w:cs="Arial"/>
                <w:b/>
                <w:sz w:val="22"/>
                <w:szCs w:val="22"/>
                <w:lang w:val="en-GB"/>
              </w:rPr>
              <w:t>20</w:t>
            </w:r>
          </w:p>
        </w:tc>
      </w:tr>
      <w:tr w:rsidR="00FF6CD1" w:rsidRPr="00CB731B" w14:paraId="14D60CD9" w14:textId="77777777" w:rsidTr="00B75D76">
        <w:tc>
          <w:tcPr>
            <w:tcW w:w="395" w:type="dxa"/>
            <w:shd w:val="clear" w:color="auto" w:fill="D9D9D9" w:themeFill="background1" w:themeFillShade="D9"/>
            <w:vAlign w:val="center"/>
          </w:tcPr>
          <w:p w14:paraId="7A8AD506" w14:textId="77777777" w:rsidR="00FF6CD1" w:rsidRPr="00CB731B" w:rsidRDefault="00FF6CD1" w:rsidP="00770374">
            <w:pPr>
              <w:pStyle w:val="ListBullet1"/>
              <w:numPr>
                <w:ilvl w:val="0"/>
                <w:numId w:val="0"/>
              </w:numPr>
              <w:spacing w:before="120" w:after="120"/>
              <w:jc w:val="left"/>
              <w:rPr>
                <w:rFonts w:asciiTheme="minorHAnsi" w:hAnsiTheme="minorHAnsi" w:cs="Arial"/>
                <w:sz w:val="22"/>
                <w:szCs w:val="22"/>
                <w:lang w:val="en-GB"/>
              </w:rPr>
            </w:pPr>
          </w:p>
        </w:tc>
        <w:tc>
          <w:tcPr>
            <w:tcW w:w="607" w:type="dxa"/>
            <w:shd w:val="clear" w:color="auto" w:fill="D9D9D9" w:themeFill="background1" w:themeFillShade="D9"/>
            <w:vAlign w:val="center"/>
          </w:tcPr>
          <w:p w14:paraId="3B1B4EBA" w14:textId="77777777" w:rsidR="00FF6CD1" w:rsidRPr="00CB731B" w:rsidRDefault="00FF6CD1" w:rsidP="00770374">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2.1</w:t>
            </w:r>
          </w:p>
        </w:tc>
        <w:tc>
          <w:tcPr>
            <w:tcW w:w="5733" w:type="dxa"/>
            <w:shd w:val="clear" w:color="auto" w:fill="FFFFFF" w:themeFill="background1"/>
            <w:vAlign w:val="center"/>
          </w:tcPr>
          <w:p w14:paraId="21A7FFAD" w14:textId="77777777" w:rsidR="00FF6CD1" w:rsidRPr="00FF6CD1" w:rsidRDefault="00FF6CD1" w:rsidP="00770374">
            <w:pPr>
              <w:pStyle w:val="ListBullet1"/>
              <w:numPr>
                <w:ilvl w:val="0"/>
                <w:numId w:val="0"/>
              </w:numPr>
              <w:spacing w:before="120" w:after="120"/>
              <w:rPr>
                <w:rFonts w:asciiTheme="minorHAnsi" w:hAnsiTheme="minorHAnsi" w:cs="Arial"/>
                <w:sz w:val="22"/>
                <w:szCs w:val="22"/>
                <w:lang w:val="en-GB"/>
              </w:rPr>
            </w:pPr>
            <w:r w:rsidRPr="00FF6CD1">
              <w:rPr>
                <w:rFonts w:asciiTheme="minorHAnsi" w:hAnsiTheme="minorHAnsi" w:cs="Arial"/>
                <w:sz w:val="22"/>
                <w:szCs w:val="22"/>
                <w:lang w:val="en-GB"/>
              </w:rPr>
              <w:t>Customer service policy including:</w:t>
            </w:r>
          </w:p>
          <w:p w14:paraId="45085BFA" w14:textId="77777777" w:rsidR="00FF6CD1" w:rsidRPr="00FF6CD1" w:rsidRDefault="00FF6CD1" w:rsidP="00770374">
            <w:pPr>
              <w:pStyle w:val="ListBullet1"/>
              <w:numPr>
                <w:ilvl w:val="0"/>
                <w:numId w:val="15"/>
              </w:numPr>
              <w:spacing w:before="120" w:after="120"/>
              <w:rPr>
                <w:rFonts w:asciiTheme="minorHAnsi" w:hAnsiTheme="minorHAnsi" w:cs="Arial"/>
                <w:sz w:val="22"/>
                <w:szCs w:val="22"/>
                <w:lang w:val="en-GB"/>
              </w:rPr>
            </w:pPr>
            <w:r>
              <w:rPr>
                <w:rFonts w:asciiTheme="minorHAnsi" w:hAnsiTheme="minorHAnsi" w:cs="Arial"/>
                <w:sz w:val="22"/>
                <w:szCs w:val="22"/>
                <w:lang w:val="en-GB"/>
              </w:rPr>
              <w:t>R</w:t>
            </w:r>
            <w:r w:rsidRPr="00FF6CD1">
              <w:rPr>
                <w:rFonts w:asciiTheme="minorHAnsi" w:hAnsiTheme="minorHAnsi" w:cs="Arial"/>
                <w:sz w:val="22"/>
                <w:szCs w:val="22"/>
                <w:lang w:val="en-GB"/>
              </w:rPr>
              <w:t>espons</w:t>
            </w:r>
            <w:r>
              <w:rPr>
                <w:rFonts w:asciiTheme="minorHAnsi" w:hAnsiTheme="minorHAnsi" w:cs="Arial"/>
                <w:sz w:val="22"/>
                <w:szCs w:val="22"/>
                <w:lang w:val="en-GB"/>
              </w:rPr>
              <w:t xml:space="preserve">e mechanisms (means, time, effectiveness) to ad-hoc </w:t>
            </w:r>
            <w:r w:rsidRPr="00FF6CD1">
              <w:rPr>
                <w:rFonts w:asciiTheme="minorHAnsi" w:hAnsiTheme="minorHAnsi" w:cs="Arial"/>
                <w:sz w:val="22"/>
                <w:szCs w:val="22"/>
                <w:lang w:val="en-GB"/>
              </w:rPr>
              <w:t xml:space="preserve">EEA </w:t>
            </w:r>
            <w:r>
              <w:rPr>
                <w:rFonts w:asciiTheme="minorHAnsi" w:hAnsiTheme="minorHAnsi" w:cs="Arial"/>
                <w:sz w:val="22"/>
                <w:szCs w:val="22"/>
                <w:lang w:val="en-GB"/>
              </w:rPr>
              <w:t>requests</w:t>
            </w:r>
          </w:p>
          <w:p w14:paraId="6CBD4E46" w14:textId="77777777" w:rsidR="00FF6CD1" w:rsidRPr="00FF6CD1" w:rsidRDefault="00FF6CD1" w:rsidP="00770374">
            <w:pPr>
              <w:pStyle w:val="ListBullet1"/>
              <w:numPr>
                <w:ilvl w:val="0"/>
                <w:numId w:val="15"/>
              </w:numPr>
              <w:spacing w:before="120" w:after="120"/>
              <w:rPr>
                <w:rFonts w:asciiTheme="minorHAnsi" w:hAnsiTheme="minorHAnsi" w:cs="Arial"/>
                <w:sz w:val="22"/>
                <w:szCs w:val="22"/>
                <w:lang w:val="en-GB"/>
              </w:rPr>
            </w:pPr>
            <w:r w:rsidRPr="00FF6CD1">
              <w:rPr>
                <w:rFonts w:asciiTheme="minorHAnsi" w:hAnsiTheme="minorHAnsi" w:cs="Arial"/>
                <w:sz w:val="22"/>
                <w:szCs w:val="22"/>
                <w:lang w:val="en-GB"/>
              </w:rPr>
              <w:t>Availability during out-of office hours, service level, assistance, etc.</w:t>
            </w:r>
          </w:p>
          <w:p w14:paraId="1757F192" w14:textId="77777777" w:rsidR="00FF6CD1" w:rsidRDefault="00FF6CD1" w:rsidP="00465678">
            <w:pPr>
              <w:pStyle w:val="ListBullet1"/>
              <w:numPr>
                <w:ilvl w:val="0"/>
                <w:numId w:val="15"/>
              </w:numPr>
              <w:spacing w:before="120" w:after="120"/>
              <w:rPr>
                <w:rFonts w:asciiTheme="minorHAnsi" w:hAnsiTheme="minorHAnsi" w:cs="Arial"/>
                <w:sz w:val="22"/>
                <w:szCs w:val="22"/>
                <w:lang w:val="en-GB"/>
              </w:rPr>
            </w:pPr>
            <w:r>
              <w:rPr>
                <w:rFonts w:asciiTheme="minorHAnsi" w:hAnsiTheme="minorHAnsi" w:cs="Arial"/>
                <w:sz w:val="22"/>
                <w:szCs w:val="22"/>
                <w:lang w:val="en-GB"/>
              </w:rPr>
              <w:t>Assignment of dedicated account/project managers</w:t>
            </w:r>
          </w:p>
          <w:p w14:paraId="3570C612" w14:textId="63BDE2F0" w:rsidR="00915094" w:rsidRPr="00465678" w:rsidRDefault="00915094" w:rsidP="00465678">
            <w:pPr>
              <w:pStyle w:val="ListBullet1"/>
              <w:numPr>
                <w:ilvl w:val="0"/>
                <w:numId w:val="15"/>
              </w:numPr>
              <w:spacing w:before="120" w:after="120"/>
              <w:rPr>
                <w:rFonts w:asciiTheme="minorHAnsi" w:hAnsiTheme="minorHAnsi" w:cs="Arial"/>
                <w:sz w:val="22"/>
                <w:szCs w:val="22"/>
                <w:lang w:val="en-GB"/>
              </w:rPr>
            </w:pPr>
            <w:r>
              <w:rPr>
                <w:rFonts w:asciiTheme="minorHAnsi" w:hAnsiTheme="minorHAnsi" w:cs="Arial"/>
                <w:sz w:val="22"/>
                <w:szCs w:val="22"/>
                <w:lang w:val="en-GB"/>
              </w:rPr>
              <w:t>Demonstrated f</w:t>
            </w:r>
            <w:r w:rsidRPr="00FF6CD1">
              <w:rPr>
                <w:rFonts w:asciiTheme="minorHAnsi" w:hAnsiTheme="minorHAnsi" w:cs="Arial"/>
                <w:sz w:val="22"/>
                <w:szCs w:val="22"/>
                <w:lang w:val="en-GB"/>
              </w:rPr>
              <w:t xml:space="preserve">lexibility </w:t>
            </w:r>
            <w:r>
              <w:rPr>
                <w:rFonts w:asciiTheme="minorHAnsi" w:hAnsiTheme="minorHAnsi" w:cs="Arial"/>
                <w:sz w:val="22"/>
                <w:szCs w:val="22"/>
                <w:lang w:val="en-GB"/>
              </w:rPr>
              <w:t xml:space="preserve">and adaptability in </w:t>
            </w:r>
            <w:r w:rsidRPr="00FF6CD1">
              <w:rPr>
                <w:rFonts w:asciiTheme="minorHAnsi" w:hAnsiTheme="minorHAnsi" w:cs="Arial"/>
                <w:sz w:val="22"/>
                <w:szCs w:val="22"/>
                <w:lang w:val="en-GB"/>
              </w:rPr>
              <w:t>administrative</w:t>
            </w:r>
            <w:r>
              <w:rPr>
                <w:rFonts w:asciiTheme="minorHAnsi" w:hAnsiTheme="minorHAnsi" w:cs="Arial"/>
                <w:sz w:val="22"/>
                <w:szCs w:val="22"/>
                <w:lang w:val="en-GB"/>
              </w:rPr>
              <w:t xml:space="preserve"> management (ex. changing dates and assignments, replacing consultants, back-up solutions, on-the-spot delivery)</w:t>
            </w:r>
          </w:p>
        </w:tc>
        <w:tc>
          <w:tcPr>
            <w:tcW w:w="1399" w:type="dxa"/>
            <w:shd w:val="clear" w:color="auto" w:fill="FFFFFF" w:themeFill="background1"/>
            <w:vAlign w:val="center"/>
          </w:tcPr>
          <w:p w14:paraId="426B7715" w14:textId="4EB1314C" w:rsidR="00FF6CD1" w:rsidRPr="00CB731B" w:rsidRDefault="00FF6CD1" w:rsidP="00915094">
            <w:pPr>
              <w:pStyle w:val="ListBullet1"/>
              <w:numPr>
                <w:ilvl w:val="0"/>
                <w:numId w:val="0"/>
              </w:numPr>
              <w:spacing w:before="120" w:after="120"/>
              <w:jc w:val="center"/>
              <w:rPr>
                <w:rFonts w:asciiTheme="minorHAnsi" w:hAnsiTheme="minorHAnsi" w:cs="Arial"/>
                <w:sz w:val="22"/>
                <w:szCs w:val="22"/>
                <w:lang w:val="en-GB"/>
              </w:rPr>
            </w:pPr>
            <w:r w:rsidRPr="00CB731B">
              <w:rPr>
                <w:rFonts w:asciiTheme="minorHAnsi" w:hAnsiTheme="minorHAnsi" w:cs="Arial"/>
                <w:sz w:val="22"/>
                <w:szCs w:val="22"/>
                <w:lang w:val="en-GB"/>
              </w:rPr>
              <w:t>1</w:t>
            </w:r>
            <w:r w:rsidR="00915094">
              <w:rPr>
                <w:rFonts w:asciiTheme="minorHAnsi" w:hAnsiTheme="minorHAnsi" w:cs="Arial"/>
                <w:sz w:val="22"/>
                <w:szCs w:val="22"/>
                <w:lang w:val="en-GB"/>
              </w:rPr>
              <w:t>8</w:t>
            </w:r>
          </w:p>
        </w:tc>
        <w:tc>
          <w:tcPr>
            <w:tcW w:w="1399" w:type="dxa"/>
            <w:shd w:val="clear" w:color="auto" w:fill="FFFFFF" w:themeFill="background1"/>
            <w:vAlign w:val="center"/>
          </w:tcPr>
          <w:p w14:paraId="2FC4329A" w14:textId="3486181D" w:rsidR="00FF6CD1" w:rsidRPr="00CB731B" w:rsidRDefault="00FF6CD1" w:rsidP="00915094">
            <w:pPr>
              <w:pStyle w:val="ListBullet1"/>
              <w:numPr>
                <w:ilvl w:val="0"/>
                <w:numId w:val="0"/>
              </w:numPr>
              <w:spacing w:before="120" w:after="120"/>
              <w:jc w:val="center"/>
              <w:rPr>
                <w:rFonts w:asciiTheme="minorHAnsi" w:hAnsiTheme="minorHAnsi" w:cs="Arial"/>
                <w:sz w:val="22"/>
                <w:szCs w:val="22"/>
                <w:lang w:val="en-GB"/>
              </w:rPr>
            </w:pPr>
            <w:r w:rsidRPr="00CB731B">
              <w:rPr>
                <w:rFonts w:asciiTheme="minorHAnsi" w:hAnsiTheme="minorHAnsi" w:cs="Arial"/>
                <w:sz w:val="22"/>
                <w:szCs w:val="22"/>
                <w:lang w:val="en-GB"/>
              </w:rPr>
              <w:t>1</w:t>
            </w:r>
            <w:r w:rsidR="00915094">
              <w:rPr>
                <w:rFonts w:asciiTheme="minorHAnsi" w:hAnsiTheme="minorHAnsi" w:cs="Arial"/>
                <w:sz w:val="22"/>
                <w:szCs w:val="22"/>
                <w:lang w:val="en-GB"/>
              </w:rPr>
              <w:t>2</w:t>
            </w:r>
          </w:p>
        </w:tc>
      </w:tr>
      <w:tr w:rsidR="00FF6CD1" w:rsidRPr="00CB731B" w14:paraId="00F26488" w14:textId="77777777" w:rsidTr="00B75D76">
        <w:tc>
          <w:tcPr>
            <w:tcW w:w="395" w:type="dxa"/>
            <w:shd w:val="clear" w:color="auto" w:fill="D9D9D9" w:themeFill="background1" w:themeFillShade="D9"/>
            <w:vAlign w:val="center"/>
          </w:tcPr>
          <w:p w14:paraId="72B79E92" w14:textId="77777777" w:rsidR="00FF6CD1" w:rsidRPr="00CB731B" w:rsidRDefault="00FF6CD1" w:rsidP="00770374">
            <w:pPr>
              <w:pStyle w:val="ListBullet1"/>
              <w:numPr>
                <w:ilvl w:val="0"/>
                <w:numId w:val="0"/>
              </w:numPr>
              <w:spacing w:before="120" w:after="120"/>
              <w:jc w:val="left"/>
              <w:rPr>
                <w:rFonts w:asciiTheme="minorHAnsi" w:hAnsiTheme="minorHAnsi" w:cs="Arial"/>
                <w:sz w:val="22"/>
                <w:szCs w:val="22"/>
                <w:lang w:val="en-GB"/>
              </w:rPr>
            </w:pPr>
          </w:p>
        </w:tc>
        <w:tc>
          <w:tcPr>
            <w:tcW w:w="607" w:type="dxa"/>
            <w:shd w:val="clear" w:color="auto" w:fill="D9D9D9" w:themeFill="background1" w:themeFillShade="D9"/>
            <w:vAlign w:val="center"/>
          </w:tcPr>
          <w:p w14:paraId="094B3AA8" w14:textId="4D7EFA73" w:rsidR="00FF6CD1" w:rsidRPr="00CB731B" w:rsidRDefault="00FF6CD1" w:rsidP="00435336">
            <w:pPr>
              <w:pStyle w:val="ListBullet1"/>
              <w:numPr>
                <w:ilvl w:val="0"/>
                <w:numId w:val="0"/>
              </w:numPr>
              <w:spacing w:before="120" w:after="120"/>
              <w:jc w:val="left"/>
              <w:rPr>
                <w:rFonts w:asciiTheme="minorHAnsi" w:hAnsiTheme="minorHAnsi" w:cs="Arial"/>
                <w:sz w:val="22"/>
                <w:szCs w:val="22"/>
                <w:lang w:val="en-GB"/>
              </w:rPr>
            </w:pPr>
            <w:r w:rsidRPr="00CB731B">
              <w:rPr>
                <w:rFonts w:asciiTheme="minorHAnsi" w:hAnsiTheme="minorHAnsi" w:cs="Arial"/>
                <w:sz w:val="22"/>
                <w:szCs w:val="22"/>
                <w:lang w:val="en-GB"/>
              </w:rPr>
              <w:t>2.</w:t>
            </w:r>
            <w:r w:rsidR="00435336">
              <w:rPr>
                <w:rFonts w:asciiTheme="minorHAnsi" w:hAnsiTheme="minorHAnsi" w:cs="Arial"/>
                <w:sz w:val="22"/>
                <w:szCs w:val="22"/>
                <w:lang w:val="en-GB"/>
              </w:rPr>
              <w:t>2</w:t>
            </w:r>
          </w:p>
        </w:tc>
        <w:tc>
          <w:tcPr>
            <w:tcW w:w="5733" w:type="dxa"/>
            <w:shd w:val="clear" w:color="auto" w:fill="FFFFFF" w:themeFill="background1"/>
            <w:vAlign w:val="center"/>
          </w:tcPr>
          <w:p w14:paraId="2615FD00" w14:textId="4E02BE60" w:rsidR="00FF6CD1" w:rsidRPr="00FF6CD1" w:rsidRDefault="00FF6CD1" w:rsidP="0021358E">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 xml:space="preserve">Mechanisms to ensure effective response to international, multi-cultural organisations like the EEA (incl. organisational approach to diversity, complementarity of staff involved, </w:t>
            </w:r>
            <w:r w:rsidR="00C13439">
              <w:rPr>
                <w:rFonts w:asciiTheme="minorHAnsi" w:hAnsiTheme="minorHAnsi" w:cs="Arial"/>
                <w:sz w:val="22"/>
                <w:szCs w:val="22"/>
                <w:lang w:val="en-GB"/>
              </w:rPr>
              <w:t>cross-cultural communication practices, examples of best practices in previous projects, etc</w:t>
            </w:r>
            <w:r w:rsidR="00435336">
              <w:rPr>
                <w:rFonts w:asciiTheme="minorHAnsi" w:hAnsiTheme="minorHAnsi" w:cs="Arial"/>
                <w:sz w:val="22"/>
                <w:szCs w:val="22"/>
                <w:lang w:val="en-GB"/>
              </w:rPr>
              <w:t>.</w:t>
            </w:r>
            <w:r w:rsidR="00C13439">
              <w:rPr>
                <w:rFonts w:asciiTheme="minorHAnsi" w:hAnsiTheme="minorHAnsi" w:cs="Arial"/>
                <w:sz w:val="22"/>
                <w:szCs w:val="22"/>
                <w:lang w:val="en-GB"/>
              </w:rPr>
              <w:t>)</w:t>
            </w:r>
            <w:r>
              <w:rPr>
                <w:rFonts w:asciiTheme="minorHAnsi" w:hAnsiTheme="minorHAnsi" w:cs="Arial"/>
                <w:sz w:val="22"/>
                <w:szCs w:val="22"/>
                <w:lang w:val="en-GB"/>
              </w:rPr>
              <w:t>.</w:t>
            </w:r>
          </w:p>
        </w:tc>
        <w:tc>
          <w:tcPr>
            <w:tcW w:w="1399" w:type="dxa"/>
            <w:shd w:val="clear" w:color="auto" w:fill="FFFFFF" w:themeFill="background1"/>
            <w:vAlign w:val="center"/>
          </w:tcPr>
          <w:p w14:paraId="3497A4CB" w14:textId="77777777" w:rsidR="00FF6CD1" w:rsidRPr="00CB731B" w:rsidRDefault="00465678" w:rsidP="00770374">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10</w:t>
            </w:r>
          </w:p>
        </w:tc>
        <w:tc>
          <w:tcPr>
            <w:tcW w:w="1399" w:type="dxa"/>
            <w:shd w:val="clear" w:color="auto" w:fill="FFFFFF" w:themeFill="background1"/>
            <w:vAlign w:val="center"/>
          </w:tcPr>
          <w:p w14:paraId="3899D7A3" w14:textId="77777777" w:rsidR="00FF6CD1" w:rsidRPr="00CB731B" w:rsidRDefault="00465678" w:rsidP="00770374">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8</w:t>
            </w:r>
          </w:p>
        </w:tc>
      </w:tr>
    </w:tbl>
    <w:p w14:paraId="28DB63D8" w14:textId="77777777" w:rsidR="005F1495" w:rsidRPr="00CB731B" w:rsidRDefault="005F1495" w:rsidP="005F1495">
      <w:pPr>
        <w:pStyle w:val="ListBullet1"/>
        <w:numPr>
          <w:ilvl w:val="0"/>
          <w:numId w:val="0"/>
        </w:numPr>
        <w:rPr>
          <w:rFonts w:asciiTheme="minorHAnsi" w:hAnsiTheme="minorHAnsi" w:cs="Arial"/>
          <w:sz w:val="22"/>
          <w:szCs w:val="22"/>
          <w:lang w:val="en-GB"/>
        </w:rPr>
      </w:pPr>
    </w:p>
    <w:p w14:paraId="03921E27" w14:textId="77777777" w:rsidR="005F1495"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t>Only tenders which obtain the indicated minimum number of points, both for each award criterion and in total, will be considered for the next stage, which involves determining the financial value of the tender (price index) and for the final assessment.</w:t>
      </w:r>
    </w:p>
    <w:p w14:paraId="1B5ADFE7" w14:textId="77777777" w:rsidR="00B75D76" w:rsidRPr="00CB731B" w:rsidRDefault="00B75D76" w:rsidP="005F1495">
      <w:pPr>
        <w:pStyle w:val="ListBullet1"/>
        <w:numPr>
          <w:ilvl w:val="0"/>
          <w:numId w:val="0"/>
        </w:numPr>
        <w:rPr>
          <w:rFonts w:asciiTheme="minorHAnsi" w:hAnsiTheme="minorHAnsi" w:cs="Arial"/>
          <w:sz w:val="22"/>
          <w:szCs w:val="22"/>
          <w:lang w:val="en-GB"/>
        </w:rPr>
      </w:pPr>
    </w:p>
    <w:p w14:paraId="179B78FD" w14:textId="77777777" w:rsidR="005F1495" w:rsidRPr="00CB731B" w:rsidRDefault="005F1495" w:rsidP="005F1495">
      <w:pPr>
        <w:pStyle w:val="ListBullet1"/>
        <w:numPr>
          <w:ilvl w:val="2"/>
          <w:numId w:val="8"/>
        </w:numPr>
        <w:rPr>
          <w:rFonts w:asciiTheme="minorHAnsi" w:hAnsiTheme="minorHAnsi" w:cs="Arial"/>
          <w:b/>
          <w:sz w:val="22"/>
          <w:szCs w:val="22"/>
          <w:lang w:val="en-GB"/>
        </w:rPr>
      </w:pPr>
      <w:r w:rsidRPr="00CB731B">
        <w:rPr>
          <w:rFonts w:asciiTheme="minorHAnsi" w:hAnsiTheme="minorHAnsi" w:cs="Arial"/>
          <w:b/>
          <w:sz w:val="22"/>
          <w:szCs w:val="22"/>
          <w:lang w:val="en-GB"/>
        </w:rPr>
        <w:lastRenderedPageBreak/>
        <w:t xml:space="preserve">Price (P) (max. </w:t>
      </w:r>
      <w:r w:rsidR="008A64E1" w:rsidRPr="00CB731B">
        <w:rPr>
          <w:rFonts w:asciiTheme="minorHAnsi" w:hAnsiTheme="minorHAnsi" w:cs="Arial"/>
          <w:b/>
          <w:sz w:val="22"/>
          <w:szCs w:val="22"/>
          <w:lang w:val="en-GB"/>
        </w:rPr>
        <w:t>3</w:t>
      </w:r>
      <w:r w:rsidRPr="00CB731B">
        <w:rPr>
          <w:rFonts w:asciiTheme="minorHAnsi" w:hAnsiTheme="minorHAnsi" w:cs="Arial"/>
          <w:b/>
          <w:sz w:val="22"/>
          <w:szCs w:val="22"/>
          <w:lang w:val="en-GB"/>
        </w:rPr>
        <w:t>0 points)</w:t>
      </w:r>
    </w:p>
    <w:p w14:paraId="427D4BF1" w14:textId="5F6CECCD" w:rsidR="005F1495" w:rsidRPr="00CB731B"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t>Tenderers are requested to submit a financial offer</w:t>
      </w:r>
      <w:r w:rsidR="008A64E1" w:rsidRPr="00CB731B">
        <w:rPr>
          <w:rFonts w:asciiTheme="minorHAnsi" w:hAnsiTheme="minorHAnsi" w:cs="Arial"/>
          <w:sz w:val="22"/>
          <w:szCs w:val="22"/>
          <w:lang w:val="en-GB"/>
        </w:rPr>
        <w:t xml:space="preserve"> giving the </w:t>
      </w:r>
      <w:r w:rsidR="008A64E1" w:rsidRPr="00CB731B">
        <w:rPr>
          <w:rFonts w:asciiTheme="minorHAnsi" w:hAnsiTheme="minorHAnsi" w:cs="Arial"/>
          <w:b/>
          <w:sz w:val="22"/>
          <w:szCs w:val="22"/>
          <w:lang w:val="en-GB"/>
        </w:rPr>
        <w:t>all-inclusive</w:t>
      </w:r>
      <w:r w:rsidR="008A64E1" w:rsidRPr="00CB731B">
        <w:rPr>
          <w:rFonts w:asciiTheme="minorHAnsi" w:hAnsiTheme="minorHAnsi" w:cs="Arial"/>
          <w:sz w:val="22"/>
          <w:szCs w:val="22"/>
          <w:lang w:val="en-GB"/>
        </w:rPr>
        <w:t xml:space="preserve"> (i.e. inclusive of all costs involved in the performance of the </w:t>
      </w:r>
      <w:r w:rsidR="00435336">
        <w:rPr>
          <w:rFonts w:asciiTheme="minorHAnsi" w:hAnsiTheme="minorHAnsi" w:cs="Arial"/>
          <w:sz w:val="22"/>
          <w:szCs w:val="22"/>
          <w:lang w:val="en-GB"/>
        </w:rPr>
        <w:t>services</w:t>
      </w:r>
      <w:r w:rsidR="00435336" w:rsidRPr="00CB731B">
        <w:rPr>
          <w:rFonts w:asciiTheme="minorHAnsi" w:hAnsiTheme="minorHAnsi" w:cs="Arial"/>
          <w:sz w:val="22"/>
          <w:szCs w:val="22"/>
          <w:lang w:val="en-GB"/>
        </w:rPr>
        <w:t xml:space="preserve"> </w:t>
      </w:r>
      <w:r w:rsidR="008A64E1" w:rsidRPr="00CB731B">
        <w:rPr>
          <w:rFonts w:asciiTheme="minorHAnsi" w:hAnsiTheme="minorHAnsi" w:cs="Arial"/>
          <w:sz w:val="22"/>
          <w:szCs w:val="22"/>
          <w:lang w:val="en-GB"/>
        </w:rPr>
        <w:t>(e.g. management and administrative costs)</w:t>
      </w:r>
      <w:r w:rsidR="00435336">
        <w:rPr>
          <w:rFonts w:asciiTheme="minorHAnsi" w:hAnsiTheme="minorHAnsi" w:cs="Arial"/>
          <w:sz w:val="22"/>
          <w:szCs w:val="22"/>
          <w:lang w:val="en-GB"/>
        </w:rPr>
        <w:t>)</w:t>
      </w:r>
      <w:r w:rsidR="008A64E1" w:rsidRPr="00CB731B">
        <w:rPr>
          <w:rFonts w:asciiTheme="minorHAnsi" w:hAnsiTheme="minorHAnsi" w:cs="Arial"/>
          <w:sz w:val="22"/>
          <w:szCs w:val="22"/>
          <w:lang w:val="en-GB"/>
        </w:rPr>
        <w:t xml:space="preserve"> </w:t>
      </w:r>
      <w:r w:rsidR="00435336">
        <w:rPr>
          <w:rFonts w:asciiTheme="minorHAnsi" w:hAnsiTheme="minorHAnsi" w:cs="Arial"/>
          <w:b/>
          <w:sz w:val="22"/>
          <w:szCs w:val="22"/>
          <w:lang w:val="en-GB"/>
        </w:rPr>
        <w:t>price</w:t>
      </w:r>
      <w:r w:rsidR="008A64E1" w:rsidRPr="00CB731B">
        <w:rPr>
          <w:rFonts w:asciiTheme="minorHAnsi" w:hAnsiTheme="minorHAnsi" w:cs="Arial"/>
          <w:b/>
          <w:sz w:val="22"/>
          <w:szCs w:val="22"/>
          <w:lang w:val="en-GB"/>
        </w:rPr>
        <w:t xml:space="preserve"> in euro</w:t>
      </w:r>
      <w:r w:rsidR="008A64E1" w:rsidRPr="00CB731B">
        <w:rPr>
          <w:rFonts w:asciiTheme="minorHAnsi" w:hAnsiTheme="minorHAnsi" w:cs="Arial"/>
          <w:sz w:val="22"/>
          <w:szCs w:val="22"/>
          <w:lang w:val="en-GB"/>
        </w:rPr>
        <w:t xml:space="preserve"> for </w:t>
      </w:r>
      <w:r w:rsidRPr="00CB731B">
        <w:rPr>
          <w:rFonts w:asciiTheme="minorHAnsi" w:hAnsiTheme="minorHAnsi" w:cs="Arial"/>
          <w:sz w:val="22"/>
          <w:szCs w:val="22"/>
          <w:lang w:val="en-GB"/>
        </w:rPr>
        <w:t xml:space="preserve">the </w:t>
      </w:r>
      <w:r w:rsidR="00435336">
        <w:rPr>
          <w:rFonts w:asciiTheme="minorHAnsi" w:hAnsiTheme="minorHAnsi" w:cs="Arial"/>
          <w:sz w:val="22"/>
          <w:szCs w:val="22"/>
          <w:lang w:val="en-GB"/>
        </w:rPr>
        <w:t>services</w:t>
      </w:r>
      <w:r w:rsidR="00EE04B4" w:rsidRPr="00CB731B">
        <w:rPr>
          <w:rFonts w:asciiTheme="minorHAnsi" w:hAnsiTheme="minorHAnsi" w:cs="Arial"/>
          <w:sz w:val="22"/>
          <w:szCs w:val="22"/>
          <w:lang w:val="en-GB"/>
        </w:rPr>
        <w:t xml:space="preserve"> outlined below.</w:t>
      </w:r>
    </w:p>
    <w:p w14:paraId="5BD721B5" w14:textId="77777777" w:rsidR="00456FF8" w:rsidRPr="00CB731B" w:rsidRDefault="00EE04B4"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t>For that purpose tenderer shall use the price quotation template attached in annex 5 to these tender specifications. Tenderers shall bear in mind that all fields are compulsory and non-compliance will lead to exclusion of the tender from the award process.</w:t>
      </w:r>
    </w:p>
    <w:tbl>
      <w:tblPr>
        <w:tblStyle w:val="TableGrid"/>
        <w:tblW w:w="9776" w:type="dxa"/>
        <w:tblLayout w:type="fixed"/>
        <w:tblLook w:val="04A0" w:firstRow="1" w:lastRow="0" w:firstColumn="1" w:lastColumn="0" w:noHBand="0" w:noVBand="1"/>
      </w:tblPr>
      <w:tblGrid>
        <w:gridCol w:w="770"/>
        <w:gridCol w:w="696"/>
        <w:gridCol w:w="5191"/>
        <w:gridCol w:w="851"/>
        <w:gridCol w:w="1134"/>
        <w:gridCol w:w="1134"/>
      </w:tblGrid>
      <w:tr w:rsidR="00507B33" w14:paraId="157FD094" w14:textId="77777777" w:rsidTr="00B75D76">
        <w:tc>
          <w:tcPr>
            <w:tcW w:w="770" w:type="dxa"/>
            <w:vAlign w:val="center"/>
          </w:tcPr>
          <w:p w14:paraId="67350FB1" w14:textId="77777777" w:rsidR="00507B33" w:rsidRDefault="00507B33" w:rsidP="00456FF8">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Lot</w:t>
            </w:r>
          </w:p>
        </w:tc>
        <w:tc>
          <w:tcPr>
            <w:tcW w:w="696" w:type="dxa"/>
            <w:vAlign w:val="center"/>
          </w:tcPr>
          <w:p w14:paraId="79A7EB90" w14:textId="77777777" w:rsidR="00507B33" w:rsidRDefault="00507B33" w:rsidP="00456FF8">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Price</w:t>
            </w:r>
          </w:p>
        </w:tc>
        <w:tc>
          <w:tcPr>
            <w:tcW w:w="5191" w:type="dxa"/>
            <w:vAlign w:val="center"/>
          </w:tcPr>
          <w:p w14:paraId="3A04F397" w14:textId="77777777" w:rsidR="00507B33" w:rsidRDefault="00507B33" w:rsidP="00456FF8">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Services</w:t>
            </w:r>
          </w:p>
        </w:tc>
        <w:tc>
          <w:tcPr>
            <w:tcW w:w="851" w:type="dxa"/>
            <w:vAlign w:val="center"/>
          </w:tcPr>
          <w:p w14:paraId="6B01C07E" w14:textId="77777777" w:rsidR="00507B33" w:rsidRDefault="00507B33"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Unit</w:t>
            </w:r>
          </w:p>
        </w:tc>
        <w:tc>
          <w:tcPr>
            <w:tcW w:w="1134" w:type="dxa"/>
            <w:vAlign w:val="center"/>
          </w:tcPr>
          <w:p w14:paraId="3D429D68" w14:textId="77777777" w:rsidR="00507B33" w:rsidRDefault="00507B33"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Weighing factor</w:t>
            </w:r>
          </w:p>
        </w:tc>
        <w:tc>
          <w:tcPr>
            <w:tcW w:w="1134" w:type="dxa"/>
            <w:vAlign w:val="center"/>
          </w:tcPr>
          <w:p w14:paraId="3F9D6D88" w14:textId="77777777" w:rsidR="00507B33" w:rsidRDefault="00507B33"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Price (EUR)</w:t>
            </w:r>
          </w:p>
        </w:tc>
      </w:tr>
      <w:tr w:rsidR="00B75D76" w14:paraId="686BEE57" w14:textId="77777777" w:rsidTr="00B75D76">
        <w:tc>
          <w:tcPr>
            <w:tcW w:w="770" w:type="dxa"/>
            <w:vMerge w:val="restart"/>
            <w:vAlign w:val="center"/>
          </w:tcPr>
          <w:p w14:paraId="63716CE5" w14:textId="77777777" w:rsidR="00B75D76" w:rsidRDefault="00B75D76" w:rsidP="00456FF8">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Lot 1</w:t>
            </w:r>
          </w:p>
        </w:tc>
        <w:tc>
          <w:tcPr>
            <w:tcW w:w="696" w:type="dxa"/>
            <w:vAlign w:val="center"/>
          </w:tcPr>
          <w:p w14:paraId="116B70B3" w14:textId="77777777" w:rsidR="00B75D76" w:rsidRDefault="00B75D76" w:rsidP="00456FF8">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P</w:t>
            </w:r>
            <w:r w:rsidRPr="00507B33">
              <w:rPr>
                <w:rFonts w:asciiTheme="minorHAnsi" w:hAnsiTheme="minorHAnsi" w:cs="Arial"/>
                <w:sz w:val="22"/>
                <w:szCs w:val="22"/>
                <w:vertAlign w:val="subscript"/>
                <w:lang w:val="en-GB"/>
              </w:rPr>
              <w:t>1</w:t>
            </w:r>
          </w:p>
        </w:tc>
        <w:tc>
          <w:tcPr>
            <w:tcW w:w="5191" w:type="dxa"/>
            <w:vAlign w:val="center"/>
          </w:tcPr>
          <w:p w14:paraId="61CF3EE5" w14:textId="77777777" w:rsidR="00B75D76" w:rsidRDefault="00B75D76" w:rsidP="00456FF8">
            <w:pPr>
              <w:pStyle w:val="ListBullet1"/>
              <w:numPr>
                <w:ilvl w:val="0"/>
                <w:numId w:val="0"/>
              </w:numPr>
              <w:spacing w:before="120" w:after="120"/>
              <w:rPr>
                <w:rFonts w:asciiTheme="minorHAnsi" w:hAnsiTheme="minorHAnsi" w:cs="Arial"/>
                <w:sz w:val="22"/>
                <w:szCs w:val="22"/>
                <w:lang w:val="en-GB"/>
              </w:rPr>
            </w:pPr>
            <w:r w:rsidRPr="00844CB3">
              <w:rPr>
                <w:rFonts w:asciiTheme="minorHAnsi" w:hAnsiTheme="minorHAnsi" w:cs="Arial"/>
                <w:b/>
                <w:sz w:val="22"/>
                <w:szCs w:val="22"/>
                <w:lang w:val="en-GB"/>
              </w:rPr>
              <w:t>Setting-up of the EEA Competency Framework as such</w:t>
            </w:r>
            <w:r>
              <w:rPr>
                <w:rFonts w:asciiTheme="minorHAnsi" w:hAnsiTheme="minorHAnsi" w:cs="Arial"/>
                <w:sz w:val="22"/>
                <w:szCs w:val="22"/>
                <w:lang w:val="en-GB"/>
              </w:rPr>
              <w:t xml:space="preserve"> (incl. preparatory workshops, usage of existing libraries of functional job profiles and competencies, customisation, application and validation).</w:t>
            </w:r>
          </w:p>
        </w:tc>
        <w:tc>
          <w:tcPr>
            <w:tcW w:w="851" w:type="dxa"/>
            <w:vAlign w:val="center"/>
          </w:tcPr>
          <w:p w14:paraId="66ACB60C" w14:textId="0A761594" w:rsidR="00B75D76" w:rsidRDefault="00B75D76"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Total Price</w:t>
            </w:r>
          </w:p>
        </w:tc>
        <w:tc>
          <w:tcPr>
            <w:tcW w:w="1134" w:type="dxa"/>
            <w:vAlign w:val="center"/>
          </w:tcPr>
          <w:p w14:paraId="0AD0E8EB" w14:textId="79C052ED" w:rsidR="00B75D76" w:rsidRDefault="00B75D76"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25%</w:t>
            </w:r>
          </w:p>
        </w:tc>
        <w:tc>
          <w:tcPr>
            <w:tcW w:w="1134" w:type="dxa"/>
            <w:vAlign w:val="center"/>
          </w:tcPr>
          <w:p w14:paraId="0B842AD5" w14:textId="77777777" w:rsidR="00B75D76" w:rsidRDefault="00B75D76" w:rsidP="00456FF8">
            <w:pPr>
              <w:pStyle w:val="ListBullet1"/>
              <w:numPr>
                <w:ilvl w:val="0"/>
                <w:numId w:val="0"/>
              </w:numPr>
              <w:spacing w:before="120" w:after="120"/>
              <w:jc w:val="left"/>
              <w:rPr>
                <w:rFonts w:asciiTheme="minorHAnsi" w:hAnsiTheme="minorHAnsi" w:cs="Arial"/>
                <w:sz w:val="22"/>
                <w:szCs w:val="22"/>
                <w:lang w:val="en-GB"/>
              </w:rPr>
            </w:pPr>
          </w:p>
        </w:tc>
      </w:tr>
      <w:tr w:rsidR="00B75D76" w14:paraId="7CB2E187" w14:textId="77777777" w:rsidTr="00B75D76">
        <w:tc>
          <w:tcPr>
            <w:tcW w:w="770" w:type="dxa"/>
            <w:vMerge/>
            <w:vAlign w:val="center"/>
          </w:tcPr>
          <w:p w14:paraId="0FA36BF4" w14:textId="77777777" w:rsidR="00B75D76" w:rsidRDefault="00B75D76" w:rsidP="00456FF8">
            <w:pPr>
              <w:pStyle w:val="ListBullet1"/>
              <w:numPr>
                <w:ilvl w:val="0"/>
                <w:numId w:val="0"/>
              </w:numPr>
              <w:spacing w:before="120" w:after="120"/>
              <w:jc w:val="left"/>
              <w:rPr>
                <w:rFonts w:asciiTheme="minorHAnsi" w:hAnsiTheme="minorHAnsi" w:cs="Arial"/>
                <w:sz w:val="22"/>
                <w:szCs w:val="22"/>
                <w:lang w:val="en-GB"/>
              </w:rPr>
            </w:pPr>
          </w:p>
        </w:tc>
        <w:tc>
          <w:tcPr>
            <w:tcW w:w="696" w:type="dxa"/>
            <w:vAlign w:val="center"/>
          </w:tcPr>
          <w:p w14:paraId="0B713C25" w14:textId="77777777" w:rsidR="00B75D76" w:rsidRDefault="00B75D76" w:rsidP="00456FF8">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P</w:t>
            </w:r>
            <w:r w:rsidRPr="00507B33">
              <w:rPr>
                <w:rFonts w:asciiTheme="minorHAnsi" w:hAnsiTheme="minorHAnsi" w:cs="Arial"/>
                <w:sz w:val="22"/>
                <w:szCs w:val="22"/>
                <w:vertAlign w:val="subscript"/>
                <w:lang w:val="en-GB"/>
              </w:rPr>
              <w:t>2</w:t>
            </w:r>
          </w:p>
        </w:tc>
        <w:tc>
          <w:tcPr>
            <w:tcW w:w="5191" w:type="dxa"/>
            <w:vAlign w:val="center"/>
          </w:tcPr>
          <w:p w14:paraId="121D1C61" w14:textId="77777777" w:rsidR="00B75D76" w:rsidRPr="00844CB3" w:rsidRDefault="00B75D76" w:rsidP="00456FF8">
            <w:pPr>
              <w:pStyle w:val="ListBullet1"/>
              <w:numPr>
                <w:ilvl w:val="0"/>
                <w:numId w:val="0"/>
              </w:numPr>
              <w:spacing w:before="120" w:after="120"/>
              <w:rPr>
                <w:rFonts w:asciiTheme="minorHAnsi" w:hAnsiTheme="minorHAnsi" w:cs="Arial"/>
                <w:b/>
                <w:sz w:val="22"/>
                <w:szCs w:val="22"/>
                <w:lang w:val="en-GB"/>
              </w:rPr>
            </w:pPr>
            <w:r w:rsidRPr="00844CB3">
              <w:rPr>
                <w:rFonts w:asciiTheme="minorHAnsi" w:hAnsiTheme="minorHAnsi" w:cs="Arial"/>
                <w:b/>
                <w:sz w:val="22"/>
                <w:szCs w:val="22"/>
                <w:lang w:val="en-GB"/>
              </w:rPr>
              <w:t>Online tools and services</w:t>
            </w:r>
            <w:r>
              <w:rPr>
                <w:rFonts w:asciiTheme="minorHAnsi" w:hAnsiTheme="minorHAnsi" w:cs="Arial"/>
                <w:sz w:val="22"/>
                <w:szCs w:val="22"/>
                <w:lang w:val="en-GB"/>
              </w:rPr>
              <w:t xml:space="preserve"> (incl. site set-up, support on integration with EEA applications, data loading, training, support and maintenance during 1</w:t>
            </w:r>
            <w:r w:rsidRPr="00B758D9">
              <w:rPr>
                <w:rFonts w:asciiTheme="minorHAnsi" w:hAnsiTheme="minorHAnsi" w:cs="Arial"/>
                <w:sz w:val="22"/>
                <w:szCs w:val="22"/>
                <w:vertAlign w:val="superscript"/>
                <w:lang w:val="en-GB"/>
              </w:rPr>
              <w:t>st</w:t>
            </w:r>
            <w:r>
              <w:rPr>
                <w:rFonts w:asciiTheme="minorHAnsi" w:hAnsiTheme="minorHAnsi" w:cs="Arial"/>
                <w:sz w:val="22"/>
                <w:szCs w:val="22"/>
                <w:lang w:val="en-GB"/>
              </w:rPr>
              <w:t xml:space="preserve"> year).</w:t>
            </w:r>
          </w:p>
        </w:tc>
        <w:tc>
          <w:tcPr>
            <w:tcW w:w="851" w:type="dxa"/>
            <w:vAlign w:val="center"/>
          </w:tcPr>
          <w:p w14:paraId="01D66CEA" w14:textId="5F3B5E4B" w:rsidR="00B75D76" w:rsidRDefault="00B75D76"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Total Price</w:t>
            </w:r>
          </w:p>
        </w:tc>
        <w:tc>
          <w:tcPr>
            <w:tcW w:w="1134" w:type="dxa"/>
            <w:vAlign w:val="center"/>
          </w:tcPr>
          <w:p w14:paraId="1A1CFEEA" w14:textId="623A4EBF" w:rsidR="00B75D76" w:rsidRDefault="00B75D76"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15%</w:t>
            </w:r>
          </w:p>
        </w:tc>
        <w:tc>
          <w:tcPr>
            <w:tcW w:w="1134" w:type="dxa"/>
            <w:vAlign w:val="center"/>
          </w:tcPr>
          <w:p w14:paraId="656C096F" w14:textId="77777777" w:rsidR="00B75D76" w:rsidRDefault="00B75D76" w:rsidP="00456FF8">
            <w:pPr>
              <w:pStyle w:val="ListBullet1"/>
              <w:numPr>
                <w:ilvl w:val="0"/>
                <w:numId w:val="0"/>
              </w:numPr>
              <w:spacing w:before="120" w:after="120"/>
              <w:jc w:val="left"/>
              <w:rPr>
                <w:rFonts w:asciiTheme="minorHAnsi" w:hAnsiTheme="minorHAnsi" w:cs="Arial"/>
                <w:sz w:val="22"/>
                <w:szCs w:val="22"/>
                <w:lang w:val="en-GB"/>
              </w:rPr>
            </w:pPr>
          </w:p>
        </w:tc>
      </w:tr>
      <w:tr w:rsidR="00B75D76" w14:paraId="1D671E26" w14:textId="77777777" w:rsidTr="00B75D76">
        <w:tc>
          <w:tcPr>
            <w:tcW w:w="770" w:type="dxa"/>
            <w:vMerge w:val="restart"/>
            <w:vAlign w:val="center"/>
          </w:tcPr>
          <w:p w14:paraId="121729C1" w14:textId="77777777" w:rsidR="00B75D76" w:rsidRDefault="00B75D76" w:rsidP="00507B33">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Lot 2</w:t>
            </w:r>
          </w:p>
        </w:tc>
        <w:tc>
          <w:tcPr>
            <w:tcW w:w="696" w:type="dxa"/>
            <w:vAlign w:val="center"/>
          </w:tcPr>
          <w:p w14:paraId="1DA991EE" w14:textId="7B6F6608" w:rsidR="00B75D76" w:rsidRDefault="00B75D76" w:rsidP="00B75D76">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P</w:t>
            </w:r>
            <w:r>
              <w:rPr>
                <w:rFonts w:asciiTheme="minorHAnsi" w:hAnsiTheme="minorHAnsi" w:cs="Arial"/>
                <w:sz w:val="22"/>
                <w:szCs w:val="22"/>
                <w:vertAlign w:val="subscript"/>
                <w:lang w:val="en-GB"/>
              </w:rPr>
              <w:t>3</w:t>
            </w:r>
          </w:p>
        </w:tc>
        <w:tc>
          <w:tcPr>
            <w:tcW w:w="5191" w:type="dxa"/>
            <w:vAlign w:val="center"/>
          </w:tcPr>
          <w:p w14:paraId="0D500F83" w14:textId="03C80921" w:rsidR="00B75D76" w:rsidRDefault="00B75D76" w:rsidP="00507B33">
            <w:pPr>
              <w:pStyle w:val="ListBullet1"/>
              <w:numPr>
                <w:ilvl w:val="0"/>
                <w:numId w:val="0"/>
              </w:numPr>
              <w:spacing w:before="120" w:after="120"/>
              <w:rPr>
                <w:rFonts w:asciiTheme="minorHAnsi" w:hAnsiTheme="minorHAnsi" w:cs="Arial"/>
                <w:sz w:val="22"/>
                <w:szCs w:val="22"/>
                <w:lang w:val="en-GB"/>
              </w:rPr>
            </w:pPr>
            <w:r w:rsidRPr="00844CB3">
              <w:rPr>
                <w:rFonts w:asciiTheme="minorHAnsi" w:hAnsiTheme="minorHAnsi" w:cs="Arial"/>
                <w:b/>
                <w:sz w:val="22"/>
                <w:szCs w:val="22"/>
                <w:lang w:val="en-GB"/>
              </w:rPr>
              <w:t xml:space="preserve">Setting-up of the </w:t>
            </w:r>
            <w:r>
              <w:rPr>
                <w:rFonts w:asciiTheme="minorHAnsi" w:hAnsiTheme="minorHAnsi" w:cs="Arial"/>
                <w:b/>
                <w:sz w:val="22"/>
                <w:szCs w:val="22"/>
                <w:lang w:val="en-GB"/>
              </w:rPr>
              <w:t>360°</w:t>
            </w:r>
            <w:r w:rsidRPr="008B1075">
              <w:rPr>
                <w:rFonts w:asciiTheme="minorHAnsi" w:hAnsiTheme="minorHAnsi" w:cs="Arial"/>
                <w:b/>
                <w:sz w:val="22"/>
                <w:szCs w:val="22"/>
                <w:lang w:val="en-GB"/>
              </w:rPr>
              <w:t xml:space="preserve"> Assessment scheme</w:t>
            </w:r>
            <w:r w:rsidRPr="00844CB3">
              <w:rPr>
                <w:rFonts w:asciiTheme="minorHAnsi" w:hAnsiTheme="minorHAnsi" w:cs="Arial"/>
                <w:b/>
                <w:sz w:val="22"/>
                <w:szCs w:val="22"/>
                <w:lang w:val="en-GB"/>
              </w:rPr>
              <w:t xml:space="preserve"> as such</w:t>
            </w:r>
            <w:r>
              <w:rPr>
                <w:rFonts w:asciiTheme="minorHAnsi" w:hAnsiTheme="minorHAnsi" w:cs="Arial"/>
                <w:sz w:val="22"/>
                <w:szCs w:val="22"/>
                <w:lang w:val="en-GB"/>
              </w:rPr>
              <w:t xml:space="preserve"> (incl. preparatory workshops, articulation with the EEA leadership competencies, customisation, application and validation).</w:t>
            </w:r>
          </w:p>
        </w:tc>
        <w:tc>
          <w:tcPr>
            <w:tcW w:w="851" w:type="dxa"/>
            <w:vAlign w:val="center"/>
          </w:tcPr>
          <w:p w14:paraId="536FC2F8" w14:textId="039D4D6C" w:rsidR="00B75D76" w:rsidRDefault="00B75D76"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Total Price</w:t>
            </w:r>
          </w:p>
        </w:tc>
        <w:tc>
          <w:tcPr>
            <w:tcW w:w="1134" w:type="dxa"/>
            <w:vAlign w:val="center"/>
          </w:tcPr>
          <w:p w14:paraId="01978EA5" w14:textId="71EBF0F1" w:rsidR="00B75D76" w:rsidRDefault="00B75D76"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25%</w:t>
            </w:r>
          </w:p>
        </w:tc>
        <w:tc>
          <w:tcPr>
            <w:tcW w:w="1134" w:type="dxa"/>
            <w:vAlign w:val="center"/>
          </w:tcPr>
          <w:p w14:paraId="2E480EA8" w14:textId="77777777" w:rsidR="00B75D76" w:rsidRDefault="00B75D76" w:rsidP="00507B33">
            <w:pPr>
              <w:pStyle w:val="ListBullet1"/>
              <w:numPr>
                <w:ilvl w:val="0"/>
                <w:numId w:val="0"/>
              </w:numPr>
              <w:spacing w:before="120" w:after="120"/>
              <w:jc w:val="left"/>
              <w:rPr>
                <w:rFonts w:asciiTheme="minorHAnsi" w:hAnsiTheme="minorHAnsi" w:cs="Arial"/>
                <w:sz w:val="22"/>
                <w:szCs w:val="22"/>
                <w:lang w:val="en-GB"/>
              </w:rPr>
            </w:pPr>
          </w:p>
        </w:tc>
      </w:tr>
      <w:tr w:rsidR="00B75D76" w14:paraId="46703834" w14:textId="77777777" w:rsidTr="00B75D76">
        <w:tc>
          <w:tcPr>
            <w:tcW w:w="770" w:type="dxa"/>
            <w:vMerge/>
            <w:vAlign w:val="center"/>
          </w:tcPr>
          <w:p w14:paraId="17FC51FD" w14:textId="77777777" w:rsidR="00B75D76" w:rsidRDefault="00B75D76" w:rsidP="00507B33">
            <w:pPr>
              <w:pStyle w:val="ListBullet1"/>
              <w:numPr>
                <w:ilvl w:val="0"/>
                <w:numId w:val="0"/>
              </w:numPr>
              <w:spacing w:before="120" w:after="120"/>
              <w:jc w:val="left"/>
              <w:rPr>
                <w:rFonts w:asciiTheme="minorHAnsi" w:hAnsiTheme="minorHAnsi" w:cs="Arial"/>
                <w:sz w:val="22"/>
                <w:szCs w:val="22"/>
                <w:lang w:val="en-GB"/>
              </w:rPr>
            </w:pPr>
          </w:p>
        </w:tc>
        <w:tc>
          <w:tcPr>
            <w:tcW w:w="696" w:type="dxa"/>
            <w:vAlign w:val="center"/>
          </w:tcPr>
          <w:p w14:paraId="45E21F41" w14:textId="4DAD5FA0" w:rsidR="00B75D76" w:rsidRDefault="00B75D76" w:rsidP="00B75D76">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P</w:t>
            </w:r>
            <w:r>
              <w:rPr>
                <w:rFonts w:asciiTheme="minorHAnsi" w:hAnsiTheme="minorHAnsi" w:cs="Arial"/>
                <w:sz w:val="22"/>
                <w:szCs w:val="22"/>
                <w:vertAlign w:val="subscript"/>
                <w:lang w:val="en-GB"/>
              </w:rPr>
              <w:t>4</w:t>
            </w:r>
          </w:p>
        </w:tc>
        <w:tc>
          <w:tcPr>
            <w:tcW w:w="5191" w:type="dxa"/>
            <w:vAlign w:val="center"/>
          </w:tcPr>
          <w:p w14:paraId="0ED5D59F" w14:textId="6BAB750E" w:rsidR="00B75D76" w:rsidRPr="00844CB3" w:rsidRDefault="00B75D76" w:rsidP="00507B33">
            <w:pPr>
              <w:pStyle w:val="ListBullet1"/>
              <w:numPr>
                <w:ilvl w:val="0"/>
                <w:numId w:val="0"/>
              </w:numPr>
              <w:spacing w:before="120" w:after="120"/>
              <w:rPr>
                <w:rFonts w:asciiTheme="minorHAnsi" w:hAnsiTheme="minorHAnsi" w:cs="Arial"/>
                <w:b/>
                <w:sz w:val="22"/>
                <w:szCs w:val="22"/>
                <w:lang w:val="en-GB"/>
              </w:rPr>
            </w:pPr>
            <w:r>
              <w:rPr>
                <w:rFonts w:asciiTheme="minorHAnsi" w:hAnsiTheme="minorHAnsi" w:cs="Arial"/>
                <w:b/>
                <w:sz w:val="22"/>
                <w:szCs w:val="22"/>
                <w:lang w:val="en-GB"/>
              </w:rPr>
              <w:t>Delivery on individual 360°</w:t>
            </w:r>
            <w:r w:rsidRPr="008B1075">
              <w:rPr>
                <w:rFonts w:asciiTheme="minorHAnsi" w:hAnsiTheme="minorHAnsi" w:cs="Arial"/>
                <w:b/>
                <w:sz w:val="22"/>
                <w:szCs w:val="22"/>
                <w:lang w:val="en-GB"/>
              </w:rPr>
              <w:t xml:space="preserve"> Assessment </w:t>
            </w:r>
            <w:r>
              <w:rPr>
                <w:rFonts w:asciiTheme="minorHAnsi" w:hAnsiTheme="minorHAnsi" w:cs="Arial"/>
                <w:b/>
                <w:sz w:val="22"/>
                <w:szCs w:val="22"/>
                <w:lang w:val="en-GB"/>
              </w:rPr>
              <w:t>reports</w:t>
            </w:r>
            <w:r>
              <w:rPr>
                <w:rFonts w:asciiTheme="minorHAnsi" w:hAnsiTheme="minorHAnsi" w:cs="Arial"/>
                <w:sz w:val="22"/>
                <w:szCs w:val="22"/>
                <w:lang w:val="en-GB"/>
              </w:rPr>
              <w:t xml:space="preserve"> (price per report).</w:t>
            </w:r>
          </w:p>
        </w:tc>
        <w:tc>
          <w:tcPr>
            <w:tcW w:w="851" w:type="dxa"/>
            <w:vAlign w:val="center"/>
          </w:tcPr>
          <w:p w14:paraId="3C70FE31" w14:textId="77777777" w:rsidR="00B75D76" w:rsidRDefault="00B75D76"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Per report</w:t>
            </w:r>
          </w:p>
        </w:tc>
        <w:tc>
          <w:tcPr>
            <w:tcW w:w="1134" w:type="dxa"/>
            <w:vAlign w:val="center"/>
          </w:tcPr>
          <w:p w14:paraId="55D477F0" w14:textId="76043635" w:rsidR="00B75D76" w:rsidRDefault="00B75D76"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5%</w:t>
            </w:r>
          </w:p>
        </w:tc>
        <w:tc>
          <w:tcPr>
            <w:tcW w:w="1134" w:type="dxa"/>
            <w:vAlign w:val="center"/>
          </w:tcPr>
          <w:p w14:paraId="530A1FBB" w14:textId="77777777" w:rsidR="00B75D76" w:rsidRDefault="00B75D76" w:rsidP="00507B33">
            <w:pPr>
              <w:pStyle w:val="ListBullet1"/>
              <w:numPr>
                <w:ilvl w:val="0"/>
                <w:numId w:val="0"/>
              </w:numPr>
              <w:spacing w:before="120" w:after="120"/>
              <w:jc w:val="left"/>
              <w:rPr>
                <w:rFonts w:asciiTheme="minorHAnsi" w:hAnsiTheme="minorHAnsi" w:cs="Arial"/>
                <w:sz w:val="22"/>
                <w:szCs w:val="22"/>
                <w:lang w:val="en-GB"/>
              </w:rPr>
            </w:pPr>
          </w:p>
        </w:tc>
      </w:tr>
      <w:tr w:rsidR="00B75D76" w14:paraId="25433BD3" w14:textId="77777777" w:rsidTr="00B75D76">
        <w:tc>
          <w:tcPr>
            <w:tcW w:w="770" w:type="dxa"/>
            <w:vMerge/>
            <w:vAlign w:val="center"/>
          </w:tcPr>
          <w:p w14:paraId="5A28F29D" w14:textId="77777777" w:rsidR="00B75D76" w:rsidRDefault="00B75D76" w:rsidP="00507B33">
            <w:pPr>
              <w:pStyle w:val="ListBullet1"/>
              <w:numPr>
                <w:ilvl w:val="0"/>
                <w:numId w:val="0"/>
              </w:numPr>
              <w:spacing w:before="120" w:after="120"/>
              <w:jc w:val="left"/>
              <w:rPr>
                <w:rFonts w:asciiTheme="minorHAnsi" w:hAnsiTheme="minorHAnsi" w:cs="Arial"/>
                <w:sz w:val="22"/>
                <w:szCs w:val="22"/>
                <w:lang w:val="en-GB"/>
              </w:rPr>
            </w:pPr>
          </w:p>
        </w:tc>
        <w:tc>
          <w:tcPr>
            <w:tcW w:w="696" w:type="dxa"/>
            <w:vAlign w:val="center"/>
          </w:tcPr>
          <w:p w14:paraId="6FF05510" w14:textId="4CB6CCF0" w:rsidR="00B75D76" w:rsidRDefault="00B75D76" w:rsidP="00B75D76">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P</w:t>
            </w:r>
            <w:r>
              <w:rPr>
                <w:rFonts w:asciiTheme="minorHAnsi" w:hAnsiTheme="minorHAnsi" w:cs="Arial"/>
                <w:sz w:val="22"/>
                <w:szCs w:val="22"/>
                <w:vertAlign w:val="subscript"/>
                <w:lang w:val="en-GB"/>
              </w:rPr>
              <w:t>5</w:t>
            </w:r>
          </w:p>
        </w:tc>
        <w:tc>
          <w:tcPr>
            <w:tcW w:w="5191" w:type="dxa"/>
            <w:vAlign w:val="center"/>
          </w:tcPr>
          <w:p w14:paraId="71FC3375" w14:textId="77777777" w:rsidR="00B75D76" w:rsidRPr="00844CB3" w:rsidRDefault="00B75D76" w:rsidP="00507B33">
            <w:pPr>
              <w:pStyle w:val="ListBullet1"/>
              <w:numPr>
                <w:ilvl w:val="0"/>
                <w:numId w:val="0"/>
              </w:numPr>
              <w:spacing w:before="120" w:after="120"/>
              <w:rPr>
                <w:rFonts w:asciiTheme="minorHAnsi" w:hAnsiTheme="minorHAnsi" w:cs="Arial"/>
                <w:b/>
                <w:sz w:val="22"/>
                <w:szCs w:val="22"/>
                <w:lang w:val="en-GB"/>
              </w:rPr>
            </w:pPr>
            <w:r w:rsidRPr="00844CB3">
              <w:rPr>
                <w:rFonts w:asciiTheme="minorHAnsi" w:hAnsiTheme="minorHAnsi" w:cs="Arial"/>
                <w:b/>
                <w:sz w:val="22"/>
                <w:szCs w:val="22"/>
                <w:lang w:val="en-GB"/>
              </w:rPr>
              <w:t>Online tools and services</w:t>
            </w:r>
            <w:r>
              <w:rPr>
                <w:rFonts w:asciiTheme="minorHAnsi" w:hAnsiTheme="minorHAnsi" w:cs="Arial"/>
                <w:sz w:val="22"/>
                <w:szCs w:val="22"/>
                <w:lang w:val="en-GB"/>
              </w:rPr>
              <w:t xml:space="preserve"> (incl. online set-up, support on integration with EEA applications, data loading, training, support and maintenance during 1</w:t>
            </w:r>
            <w:r w:rsidRPr="00B758D9">
              <w:rPr>
                <w:rFonts w:asciiTheme="minorHAnsi" w:hAnsiTheme="minorHAnsi" w:cs="Arial"/>
                <w:sz w:val="22"/>
                <w:szCs w:val="22"/>
                <w:vertAlign w:val="superscript"/>
                <w:lang w:val="en-GB"/>
              </w:rPr>
              <w:t>st</w:t>
            </w:r>
            <w:r>
              <w:rPr>
                <w:rFonts w:asciiTheme="minorHAnsi" w:hAnsiTheme="minorHAnsi" w:cs="Arial"/>
                <w:sz w:val="22"/>
                <w:szCs w:val="22"/>
                <w:lang w:val="en-GB"/>
              </w:rPr>
              <w:t xml:space="preserve"> year).</w:t>
            </w:r>
          </w:p>
        </w:tc>
        <w:tc>
          <w:tcPr>
            <w:tcW w:w="851" w:type="dxa"/>
            <w:vAlign w:val="center"/>
          </w:tcPr>
          <w:p w14:paraId="734EF807" w14:textId="44AFEA79" w:rsidR="00B75D76" w:rsidRDefault="00B75D76"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Total Price</w:t>
            </w:r>
          </w:p>
        </w:tc>
        <w:tc>
          <w:tcPr>
            <w:tcW w:w="1134" w:type="dxa"/>
            <w:vAlign w:val="center"/>
          </w:tcPr>
          <w:p w14:paraId="378E0D5E" w14:textId="03873B8D" w:rsidR="00B75D76" w:rsidRDefault="00B75D76"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15%</w:t>
            </w:r>
          </w:p>
        </w:tc>
        <w:tc>
          <w:tcPr>
            <w:tcW w:w="1134" w:type="dxa"/>
            <w:vAlign w:val="center"/>
          </w:tcPr>
          <w:p w14:paraId="5FA3AD7B" w14:textId="77777777" w:rsidR="00B75D76" w:rsidRDefault="00B75D76" w:rsidP="00507B33">
            <w:pPr>
              <w:pStyle w:val="ListBullet1"/>
              <w:numPr>
                <w:ilvl w:val="0"/>
                <w:numId w:val="0"/>
              </w:numPr>
              <w:spacing w:before="120" w:after="120"/>
              <w:jc w:val="left"/>
              <w:rPr>
                <w:rFonts w:asciiTheme="minorHAnsi" w:hAnsiTheme="minorHAnsi" w:cs="Arial"/>
                <w:sz w:val="22"/>
                <w:szCs w:val="22"/>
                <w:lang w:val="en-GB"/>
              </w:rPr>
            </w:pPr>
          </w:p>
        </w:tc>
      </w:tr>
      <w:tr w:rsidR="00B75D76" w14:paraId="2B27641C" w14:textId="77777777" w:rsidTr="00B75D76">
        <w:tc>
          <w:tcPr>
            <w:tcW w:w="770" w:type="dxa"/>
            <w:vAlign w:val="center"/>
          </w:tcPr>
          <w:p w14:paraId="546E244E" w14:textId="77777777" w:rsidR="00507B33" w:rsidRDefault="00507B33" w:rsidP="00507B33">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Lot 3</w:t>
            </w:r>
          </w:p>
        </w:tc>
        <w:tc>
          <w:tcPr>
            <w:tcW w:w="696" w:type="dxa"/>
            <w:vAlign w:val="center"/>
          </w:tcPr>
          <w:p w14:paraId="2073B841" w14:textId="1CBE9091" w:rsidR="00507B33" w:rsidRDefault="00507B33" w:rsidP="00B75D76">
            <w:pPr>
              <w:pStyle w:val="ListBullet1"/>
              <w:numPr>
                <w:ilvl w:val="0"/>
                <w:numId w:val="0"/>
              </w:numPr>
              <w:spacing w:before="120" w:after="120"/>
              <w:jc w:val="left"/>
              <w:rPr>
                <w:rFonts w:asciiTheme="minorHAnsi" w:hAnsiTheme="minorHAnsi" w:cs="Arial"/>
                <w:sz w:val="22"/>
                <w:szCs w:val="22"/>
                <w:lang w:val="en-GB"/>
              </w:rPr>
            </w:pPr>
            <w:r>
              <w:rPr>
                <w:rFonts w:asciiTheme="minorHAnsi" w:hAnsiTheme="minorHAnsi" w:cs="Arial"/>
                <w:sz w:val="22"/>
                <w:szCs w:val="22"/>
                <w:lang w:val="en-GB"/>
              </w:rPr>
              <w:t>P</w:t>
            </w:r>
            <w:r w:rsidR="00B75D76">
              <w:rPr>
                <w:rFonts w:asciiTheme="minorHAnsi" w:hAnsiTheme="minorHAnsi" w:cs="Arial"/>
                <w:sz w:val="22"/>
                <w:szCs w:val="22"/>
                <w:vertAlign w:val="subscript"/>
                <w:lang w:val="en-GB"/>
              </w:rPr>
              <w:t>6</w:t>
            </w:r>
          </w:p>
        </w:tc>
        <w:tc>
          <w:tcPr>
            <w:tcW w:w="5191" w:type="dxa"/>
            <w:vAlign w:val="center"/>
          </w:tcPr>
          <w:p w14:paraId="12704904" w14:textId="2BB69D96" w:rsidR="00507B33" w:rsidRPr="00844CB3" w:rsidRDefault="00507B33" w:rsidP="00507B33">
            <w:pPr>
              <w:pStyle w:val="ListBullet1"/>
              <w:numPr>
                <w:ilvl w:val="0"/>
                <w:numId w:val="0"/>
              </w:numPr>
              <w:spacing w:before="120" w:after="120"/>
              <w:rPr>
                <w:rFonts w:asciiTheme="minorHAnsi" w:hAnsiTheme="minorHAnsi" w:cs="Arial"/>
                <w:b/>
                <w:sz w:val="22"/>
                <w:szCs w:val="22"/>
                <w:lang w:val="en-GB"/>
              </w:rPr>
            </w:pPr>
            <w:r>
              <w:rPr>
                <w:rFonts w:asciiTheme="minorHAnsi" w:hAnsiTheme="minorHAnsi" w:cs="Arial"/>
                <w:sz w:val="22"/>
                <w:szCs w:val="22"/>
                <w:lang w:val="en-GB"/>
              </w:rPr>
              <w:t>Ancillary</w:t>
            </w:r>
            <w:r w:rsidRPr="00CB731B">
              <w:rPr>
                <w:rFonts w:asciiTheme="minorHAnsi" w:hAnsiTheme="minorHAnsi" w:cs="Arial"/>
                <w:sz w:val="22"/>
                <w:szCs w:val="22"/>
                <w:lang w:val="en-GB"/>
              </w:rPr>
              <w:t xml:space="preserve"> </w:t>
            </w:r>
            <w:r>
              <w:rPr>
                <w:rFonts w:asciiTheme="minorHAnsi" w:hAnsiTheme="minorHAnsi" w:cs="Arial"/>
                <w:b/>
                <w:sz w:val="22"/>
                <w:szCs w:val="22"/>
                <w:lang w:val="en-GB"/>
              </w:rPr>
              <w:t>ad-hoc</w:t>
            </w:r>
            <w:r w:rsidRPr="00844CB3">
              <w:rPr>
                <w:rFonts w:asciiTheme="minorHAnsi" w:hAnsiTheme="minorHAnsi" w:cs="Arial"/>
                <w:b/>
                <w:sz w:val="22"/>
                <w:szCs w:val="22"/>
                <w:lang w:val="en-GB"/>
              </w:rPr>
              <w:t xml:space="preserve"> consulting/training services</w:t>
            </w:r>
            <w:r>
              <w:rPr>
                <w:rFonts w:asciiTheme="minorHAnsi" w:hAnsiTheme="minorHAnsi" w:cs="Arial"/>
                <w:sz w:val="22"/>
                <w:szCs w:val="22"/>
                <w:lang w:val="en-GB"/>
              </w:rPr>
              <w:t xml:space="preserve"> at the EEA (inclusive of travelling and accommodation if needed)</w:t>
            </w:r>
          </w:p>
        </w:tc>
        <w:tc>
          <w:tcPr>
            <w:tcW w:w="851" w:type="dxa"/>
            <w:vAlign w:val="center"/>
          </w:tcPr>
          <w:p w14:paraId="78ADE927" w14:textId="77777777" w:rsidR="00507B33" w:rsidRDefault="00507B33"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Daily</w:t>
            </w:r>
            <w:r w:rsidRPr="00CB731B">
              <w:rPr>
                <w:rFonts w:asciiTheme="minorHAnsi" w:hAnsiTheme="minorHAnsi" w:cs="Arial"/>
                <w:sz w:val="22"/>
                <w:szCs w:val="22"/>
                <w:lang w:val="en-GB"/>
              </w:rPr>
              <w:t xml:space="preserve"> rate</w:t>
            </w:r>
          </w:p>
        </w:tc>
        <w:tc>
          <w:tcPr>
            <w:tcW w:w="1134" w:type="dxa"/>
            <w:vAlign w:val="center"/>
          </w:tcPr>
          <w:p w14:paraId="42D6810B" w14:textId="1AA092FB" w:rsidR="00507B33" w:rsidRDefault="00F87C18" w:rsidP="00B75D76">
            <w:pPr>
              <w:pStyle w:val="ListBullet1"/>
              <w:numPr>
                <w:ilvl w:val="0"/>
                <w:numId w:val="0"/>
              </w:numPr>
              <w:spacing w:before="120" w:after="120"/>
              <w:jc w:val="center"/>
              <w:rPr>
                <w:rFonts w:asciiTheme="minorHAnsi" w:hAnsiTheme="minorHAnsi" w:cs="Arial"/>
                <w:sz w:val="22"/>
                <w:szCs w:val="22"/>
                <w:lang w:val="en-GB"/>
              </w:rPr>
            </w:pPr>
            <w:r>
              <w:rPr>
                <w:rFonts w:asciiTheme="minorHAnsi" w:hAnsiTheme="minorHAnsi" w:cs="Arial"/>
                <w:sz w:val="22"/>
                <w:szCs w:val="22"/>
                <w:lang w:val="en-GB"/>
              </w:rPr>
              <w:t>15%</w:t>
            </w:r>
          </w:p>
        </w:tc>
        <w:tc>
          <w:tcPr>
            <w:tcW w:w="1134" w:type="dxa"/>
            <w:vAlign w:val="center"/>
          </w:tcPr>
          <w:p w14:paraId="3A2150D9" w14:textId="77777777" w:rsidR="00507B33" w:rsidRDefault="00507B33" w:rsidP="00507B33">
            <w:pPr>
              <w:pStyle w:val="ListBullet1"/>
              <w:numPr>
                <w:ilvl w:val="0"/>
                <w:numId w:val="0"/>
              </w:numPr>
              <w:spacing w:before="120" w:after="120"/>
              <w:jc w:val="left"/>
              <w:rPr>
                <w:rFonts w:asciiTheme="minorHAnsi" w:hAnsiTheme="minorHAnsi" w:cs="Arial"/>
                <w:sz w:val="22"/>
                <w:szCs w:val="22"/>
                <w:lang w:val="en-GB"/>
              </w:rPr>
            </w:pPr>
          </w:p>
        </w:tc>
      </w:tr>
    </w:tbl>
    <w:p w14:paraId="21384065" w14:textId="77777777" w:rsidR="00EE04B4" w:rsidRDefault="00EE04B4" w:rsidP="005F1495">
      <w:pPr>
        <w:pStyle w:val="ListBullet1"/>
        <w:numPr>
          <w:ilvl w:val="0"/>
          <w:numId w:val="0"/>
        </w:numPr>
        <w:rPr>
          <w:rFonts w:asciiTheme="minorHAnsi" w:hAnsiTheme="minorHAnsi" w:cs="Arial"/>
          <w:sz w:val="22"/>
          <w:szCs w:val="22"/>
          <w:lang w:val="en-GB"/>
        </w:rPr>
      </w:pPr>
    </w:p>
    <w:p w14:paraId="060B1B57" w14:textId="77777777" w:rsidR="005F1495" w:rsidRPr="00CB731B"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b/>
          <w:sz w:val="22"/>
          <w:szCs w:val="22"/>
          <w:lang w:val="en-GB"/>
        </w:rPr>
        <w:t>For each category above</w:t>
      </w:r>
      <w:r w:rsidRPr="00CB731B">
        <w:rPr>
          <w:rFonts w:asciiTheme="minorHAnsi" w:hAnsiTheme="minorHAnsi" w:cs="Arial"/>
          <w:sz w:val="22"/>
          <w:szCs w:val="22"/>
          <w:lang w:val="en-GB"/>
        </w:rPr>
        <w:t>, tenders meeting all mandatory requirements including the minima for technical merit will score points in function of the following formula Ps = (</w:t>
      </w:r>
      <w:proofErr w:type="spellStart"/>
      <w:r w:rsidRPr="00CB731B">
        <w:rPr>
          <w:rFonts w:asciiTheme="minorHAnsi" w:hAnsiTheme="minorHAnsi" w:cs="Arial"/>
          <w:sz w:val="22"/>
          <w:szCs w:val="22"/>
          <w:lang w:val="en-GB"/>
        </w:rPr>
        <w:t>Ps</w:t>
      </w:r>
      <w:r w:rsidRPr="00CB731B">
        <w:rPr>
          <w:rFonts w:asciiTheme="minorHAnsi" w:hAnsiTheme="minorHAnsi" w:cs="Arial"/>
          <w:sz w:val="22"/>
          <w:szCs w:val="22"/>
          <w:vertAlign w:val="subscript"/>
          <w:lang w:val="en-GB"/>
        </w:rPr>
        <w:t>min</w:t>
      </w:r>
      <w:proofErr w:type="spellEnd"/>
      <w:r w:rsidRPr="00CB731B">
        <w:rPr>
          <w:rFonts w:asciiTheme="minorHAnsi" w:hAnsiTheme="minorHAnsi" w:cs="Arial"/>
          <w:sz w:val="22"/>
          <w:szCs w:val="22"/>
          <w:lang w:val="en-GB"/>
        </w:rPr>
        <w:t xml:space="preserve"> / Ps</w:t>
      </w:r>
      <w:r w:rsidRPr="00CB731B">
        <w:rPr>
          <w:rFonts w:asciiTheme="minorHAnsi" w:hAnsiTheme="minorHAnsi" w:cs="Arial"/>
          <w:sz w:val="22"/>
          <w:szCs w:val="22"/>
          <w:vertAlign w:val="subscript"/>
          <w:lang w:val="en-GB"/>
        </w:rPr>
        <w:t>0</w:t>
      </w:r>
      <w:r w:rsidRPr="00CB731B">
        <w:rPr>
          <w:rFonts w:asciiTheme="minorHAnsi" w:hAnsiTheme="minorHAnsi" w:cs="Arial"/>
          <w:sz w:val="22"/>
          <w:szCs w:val="22"/>
          <w:lang w:val="en-GB"/>
        </w:rPr>
        <w:t xml:space="preserve">) x </w:t>
      </w:r>
      <w:r w:rsidR="008A64E1" w:rsidRPr="00CB731B">
        <w:rPr>
          <w:rFonts w:asciiTheme="minorHAnsi" w:hAnsiTheme="minorHAnsi" w:cs="Arial"/>
          <w:sz w:val="22"/>
          <w:szCs w:val="22"/>
          <w:lang w:val="en-GB"/>
        </w:rPr>
        <w:t>3</w:t>
      </w:r>
      <w:r w:rsidRPr="00CB731B">
        <w:rPr>
          <w:rFonts w:asciiTheme="minorHAnsi" w:hAnsiTheme="minorHAnsi" w:cs="Arial"/>
          <w:sz w:val="22"/>
          <w:szCs w:val="22"/>
          <w:lang w:val="en-GB"/>
        </w:rPr>
        <w:t xml:space="preserve">0 x weight percentage, where </w:t>
      </w:r>
    </w:p>
    <w:p w14:paraId="7324985E" w14:textId="77777777" w:rsidR="005F1495" w:rsidRPr="00CB731B"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t>Ps = score for price of service,</w:t>
      </w:r>
    </w:p>
    <w:p w14:paraId="5DF63E17" w14:textId="77777777" w:rsidR="005F1495" w:rsidRPr="00CB731B" w:rsidRDefault="005F1495" w:rsidP="005F1495">
      <w:pPr>
        <w:pStyle w:val="ListBullet1"/>
        <w:numPr>
          <w:ilvl w:val="0"/>
          <w:numId w:val="0"/>
        </w:numPr>
        <w:rPr>
          <w:rFonts w:asciiTheme="minorHAnsi" w:hAnsiTheme="minorHAnsi" w:cs="Arial"/>
          <w:sz w:val="22"/>
          <w:szCs w:val="22"/>
          <w:lang w:val="en-GB"/>
        </w:rPr>
      </w:pPr>
      <w:proofErr w:type="spellStart"/>
      <w:r w:rsidRPr="00CB731B">
        <w:rPr>
          <w:rFonts w:asciiTheme="minorHAnsi" w:hAnsiTheme="minorHAnsi" w:cs="Arial"/>
          <w:sz w:val="22"/>
          <w:szCs w:val="22"/>
          <w:lang w:val="en-GB"/>
        </w:rPr>
        <w:t>Ps</w:t>
      </w:r>
      <w:r w:rsidRPr="00CB731B">
        <w:rPr>
          <w:rFonts w:asciiTheme="minorHAnsi" w:hAnsiTheme="minorHAnsi" w:cs="Arial"/>
          <w:sz w:val="22"/>
          <w:szCs w:val="22"/>
          <w:vertAlign w:val="subscript"/>
          <w:lang w:val="en-GB"/>
        </w:rPr>
        <w:t>min</w:t>
      </w:r>
      <w:proofErr w:type="spellEnd"/>
      <w:r w:rsidRPr="00CB731B">
        <w:rPr>
          <w:rFonts w:asciiTheme="minorHAnsi" w:hAnsiTheme="minorHAnsi" w:cs="Arial"/>
          <w:sz w:val="22"/>
          <w:szCs w:val="22"/>
          <w:lang w:val="en-GB"/>
        </w:rPr>
        <w:t xml:space="preserve"> = the lowest price offered amongst the tenders received,</w:t>
      </w:r>
    </w:p>
    <w:p w14:paraId="4AB8E095" w14:textId="77777777" w:rsidR="005F1495" w:rsidRPr="00CB731B"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t>Ps</w:t>
      </w:r>
      <w:r w:rsidRPr="00CB731B">
        <w:rPr>
          <w:rFonts w:asciiTheme="minorHAnsi" w:hAnsiTheme="minorHAnsi" w:cs="Arial"/>
          <w:sz w:val="22"/>
          <w:szCs w:val="22"/>
          <w:vertAlign w:val="subscript"/>
          <w:lang w:val="en-GB"/>
        </w:rPr>
        <w:t>0</w:t>
      </w:r>
      <w:r w:rsidRPr="00CB731B">
        <w:rPr>
          <w:rFonts w:asciiTheme="minorHAnsi" w:hAnsiTheme="minorHAnsi" w:cs="Arial"/>
          <w:sz w:val="22"/>
          <w:szCs w:val="22"/>
          <w:lang w:val="en-GB"/>
        </w:rPr>
        <w:t xml:space="preserve"> = the price of the tender being considered</w:t>
      </w:r>
    </w:p>
    <w:p w14:paraId="318C8102" w14:textId="3708630D" w:rsidR="005F1495" w:rsidRPr="00CB731B"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lastRenderedPageBreak/>
        <w:t xml:space="preserve">The Price </w:t>
      </w:r>
      <w:r w:rsidR="00EE04B4" w:rsidRPr="00CB731B">
        <w:rPr>
          <w:rFonts w:asciiTheme="minorHAnsi" w:hAnsiTheme="minorHAnsi" w:cs="Arial"/>
          <w:sz w:val="22"/>
          <w:szCs w:val="22"/>
          <w:lang w:val="en-GB"/>
        </w:rPr>
        <w:t xml:space="preserve">score for the provision of the </w:t>
      </w:r>
      <w:r w:rsidR="00435336">
        <w:rPr>
          <w:rFonts w:asciiTheme="minorHAnsi" w:hAnsiTheme="minorHAnsi" w:cs="Arial"/>
          <w:sz w:val="22"/>
          <w:szCs w:val="22"/>
          <w:lang w:val="en-GB"/>
        </w:rPr>
        <w:t>r</w:t>
      </w:r>
      <w:r w:rsidR="00EE04B4" w:rsidRPr="00CB731B">
        <w:rPr>
          <w:rFonts w:asciiTheme="minorHAnsi" w:hAnsiTheme="minorHAnsi" w:cs="Arial"/>
          <w:sz w:val="22"/>
          <w:szCs w:val="22"/>
          <w:lang w:val="en-GB"/>
        </w:rPr>
        <w:t xml:space="preserve"> services </w:t>
      </w:r>
      <w:r w:rsidRPr="00CB731B">
        <w:rPr>
          <w:rFonts w:asciiTheme="minorHAnsi" w:hAnsiTheme="minorHAnsi" w:cs="Arial"/>
          <w:sz w:val="22"/>
          <w:szCs w:val="22"/>
          <w:lang w:val="en-GB"/>
        </w:rPr>
        <w:t xml:space="preserve">(P) is the sum of the </w:t>
      </w:r>
      <w:r w:rsidR="00B75D76">
        <w:rPr>
          <w:rFonts w:asciiTheme="minorHAnsi" w:hAnsiTheme="minorHAnsi" w:cs="Arial"/>
          <w:sz w:val="22"/>
          <w:szCs w:val="22"/>
          <w:lang w:val="en-GB"/>
        </w:rPr>
        <w:t>6</w:t>
      </w:r>
      <w:r w:rsidR="00507B33">
        <w:rPr>
          <w:rFonts w:asciiTheme="minorHAnsi" w:hAnsiTheme="minorHAnsi" w:cs="Arial"/>
          <w:sz w:val="22"/>
          <w:szCs w:val="22"/>
          <w:lang w:val="en-GB"/>
        </w:rPr>
        <w:t xml:space="preserve"> </w:t>
      </w:r>
      <w:r w:rsidR="008A64E1" w:rsidRPr="00CB731B">
        <w:rPr>
          <w:rFonts w:asciiTheme="minorHAnsi" w:hAnsiTheme="minorHAnsi" w:cs="Arial"/>
          <w:sz w:val="22"/>
          <w:szCs w:val="22"/>
          <w:lang w:val="en-GB"/>
        </w:rPr>
        <w:t>(</w:t>
      </w:r>
      <w:r w:rsidR="00B75D76">
        <w:rPr>
          <w:rFonts w:asciiTheme="minorHAnsi" w:hAnsiTheme="minorHAnsi" w:cs="Arial"/>
          <w:sz w:val="22"/>
          <w:szCs w:val="22"/>
          <w:lang w:val="en-GB"/>
        </w:rPr>
        <w:t>six</w:t>
      </w:r>
      <w:r w:rsidR="008A64E1" w:rsidRPr="00CB731B">
        <w:rPr>
          <w:rFonts w:asciiTheme="minorHAnsi" w:hAnsiTheme="minorHAnsi" w:cs="Arial"/>
          <w:sz w:val="22"/>
          <w:szCs w:val="22"/>
          <w:lang w:val="en-GB"/>
        </w:rPr>
        <w:t>)</w:t>
      </w:r>
      <w:r w:rsidRPr="00CB731B">
        <w:rPr>
          <w:rFonts w:asciiTheme="minorHAnsi" w:hAnsiTheme="minorHAnsi" w:cs="Arial"/>
          <w:sz w:val="22"/>
          <w:szCs w:val="22"/>
          <w:lang w:val="en-GB"/>
        </w:rPr>
        <w:t xml:space="preserve"> P</w:t>
      </w:r>
      <w:r w:rsidRPr="00CB731B">
        <w:rPr>
          <w:rFonts w:asciiTheme="minorHAnsi" w:hAnsiTheme="minorHAnsi" w:cs="Arial"/>
          <w:sz w:val="22"/>
          <w:szCs w:val="22"/>
          <w:vertAlign w:val="subscript"/>
          <w:lang w:val="en-GB"/>
        </w:rPr>
        <w:t>s</w:t>
      </w:r>
      <w:r w:rsidRPr="00CB731B">
        <w:rPr>
          <w:rFonts w:asciiTheme="minorHAnsi" w:hAnsiTheme="minorHAnsi" w:cs="Arial"/>
          <w:sz w:val="22"/>
          <w:szCs w:val="22"/>
          <w:lang w:val="en-GB"/>
        </w:rPr>
        <w:t>.</w:t>
      </w:r>
    </w:p>
    <w:p w14:paraId="763DEB23" w14:textId="77777777" w:rsidR="005F1495" w:rsidRPr="00CB731B" w:rsidRDefault="005F1495" w:rsidP="005F1495">
      <w:pPr>
        <w:pStyle w:val="ListBullet1"/>
        <w:numPr>
          <w:ilvl w:val="2"/>
          <w:numId w:val="8"/>
        </w:numPr>
        <w:rPr>
          <w:rFonts w:asciiTheme="minorHAnsi" w:hAnsiTheme="minorHAnsi" w:cs="Arial"/>
          <w:b/>
          <w:sz w:val="22"/>
          <w:szCs w:val="22"/>
          <w:lang w:val="en-GB"/>
        </w:rPr>
      </w:pPr>
      <w:r w:rsidRPr="00CB731B">
        <w:rPr>
          <w:rFonts w:asciiTheme="minorHAnsi" w:hAnsiTheme="minorHAnsi" w:cs="Arial"/>
          <w:b/>
          <w:sz w:val="22"/>
          <w:szCs w:val="22"/>
          <w:lang w:val="en-GB"/>
        </w:rPr>
        <w:t>Final assessment</w:t>
      </w:r>
    </w:p>
    <w:p w14:paraId="40728D82" w14:textId="77777777" w:rsidR="005F1495" w:rsidRPr="00CB731B" w:rsidRDefault="005F1495" w:rsidP="005F1495">
      <w:pPr>
        <w:pStyle w:val="ListBullet1"/>
        <w:numPr>
          <w:ilvl w:val="0"/>
          <w:numId w:val="0"/>
        </w:numPr>
        <w:rPr>
          <w:rFonts w:asciiTheme="minorHAnsi" w:hAnsiTheme="minorHAnsi" w:cs="Arial"/>
          <w:sz w:val="22"/>
          <w:szCs w:val="22"/>
          <w:lang w:val="en-GB"/>
        </w:rPr>
      </w:pPr>
      <w:r w:rsidRPr="00CB731B">
        <w:rPr>
          <w:rFonts w:asciiTheme="minorHAnsi" w:hAnsiTheme="minorHAnsi" w:cs="Arial"/>
          <w:sz w:val="22"/>
          <w:szCs w:val="22"/>
          <w:lang w:val="en-GB"/>
        </w:rPr>
        <w:t xml:space="preserve">A framework </w:t>
      </w:r>
      <w:r w:rsidR="00D9412F">
        <w:rPr>
          <w:rFonts w:asciiTheme="minorHAnsi" w:hAnsiTheme="minorHAnsi" w:cs="Arial"/>
          <w:sz w:val="22"/>
          <w:szCs w:val="22"/>
          <w:lang w:val="en-GB"/>
        </w:rPr>
        <w:t xml:space="preserve">service </w:t>
      </w:r>
      <w:r w:rsidRPr="00CB731B">
        <w:rPr>
          <w:rFonts w:asciiTheme="minorHAnsi" w:hAnsiTheme="minorHAnsi" w:cs="Arial"/>
          <w:sz w:val="22"/>
          <w:szCs w:val="22"/>
          <w:lang w:val="en-GB"/>
        </w:rPr>
        <w:t>contract will be awarded to the tenderer whose tender achieves the highest total score for technical merit and price (TM + P). Should tenders obtain the same final score and tie for first place, the winning tender will be decided on the basis of the highest score achieved for price.</w:t>
      </w:r>
    </w:p>
    <w:p w14:paraId="05AB8E5F" w14:textId="77777777" w:rsidR="005F1495" w:rsidRPr="00CB731B" w:rsidRDefault="005F1495" w:rsidP="005F1495">
      <w:pPr>
        <w:pStyle w:val="ListBullet1"/>
        <w:numPr>
          <w:ilvl w:val="0"/>
          <w:numId w:val="0"/>
        </w:numPr>
        <w:rPr>
          <w:rFonts w:asciiTheme="minorHAnsi" w:hAnsiTheme="minorHAnsi" w:cs="Arial"/>
          <w:b/>
          <w:sz w:val="22"/>
          <w:szCs w:val="22"/>
          <w:lang w:val="en-GB"/>
        </w:rPr>
      </w:pPr>
      <w:r w:rsidRPr="00CB731B">
        <w:rPr>
          <w:rFonts w:asciiTheme="minorHAnsi" w:hAnsiTheme="minorHAnsi" w:cs="Arial"/>
          <w:b/>
          <w:sz w:val="22"/>
          <w:szCs w:val="22"/>
          <w:lang w:val="en-GB"/>
        </w:rPr>
        <w:t>10.</w:t>
      </w:r>
      <w:r w:rsidRPr="00CB731B">
        <w:rPr>
          <w:rFonts w:asciiTheme="minorHAnsi" w:hAnsiTheme="minorHAnsi" w:cs="Arial"/>
          <w:b/>
          <w:sz w:val="22"/>
          <w:szCs w:val="22"/>
          <w:lang w:val="en-GB"/>
        </w:rPr>
        <w:tab/>
        <w:t>Performance</w:t>
      </w:r>
    </w:p>
    <w:p w14:paraId="21817355"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Competence in both selection and award criteria must be maintained throughout the framework contract. Should the contractor fail to do this during the validity of the framework contract, </w:t>
      </w:r>
      <w:r w:rsidR="00EE04B4" w:rsidRPr="00CB731B">
        <w:rPr>
          <w:rFonts w:asciiTheme="minorHAnsi" w:hAnsiTheme="minorHAnsi" w:cs="Arial"/>
          <w:sz w:val="22"/>
          <w:szCs w:val="22"/>
          <w:lang w:val="en-GB"/>
        </w:rPr>
        <w:t xml:space="preserve">the </w:t>
      </w:r>
      <w:r w:rsidRPr="00CB731B">
        <w:rPr>
          <w:rFonts w:asciiTheme="minorHAnsi" w:hAnsiTheme="minorHAnsi" w:cs="Arial"/>
          <w:sz w:val="22"/>
          <w:szCs w:val="22"/>
          <w:lang w:val="en-GB"/>
        </w:rPr>
        <w:t>EEA reserve</w:t>
      </w:r>
      <w:r w:rsidR="00EE04B4" w:rsidRPr="00CB731B">
        <w:rPr>
          <w:rFonts w:asciiTheme="minorHAnsi" w:hAnsiTheme="minorHAnsi" w:cs="Arial"/>
          <w:sz w:val="22"/>
          <w:szCs w:val="22"/>
          <w:lang w:val="en-GB"/>
        </w:rPr>
        <w:t>s</w:t>
      </w:r>
      <w:r w:rsidRPr="00CB731B">
        <w:rPr>
          <w:rFonts w:asciiTheme="minorHAnsi" w:hAnsiTheme="minorHAnsi" w:cs="Arial"/>
          <w:sz w:val="22"/>
          <w:szCs w:val="22"/>
          <w:lang w:val="en-GB"/>
        </w:rPr>
        <w:t xml:space="preserve"> the right to refuse any </w:t>
      </w:r>
      <w:r w:rsidR="00D9412F">
        <w:rPr>
          <w:rFonts w:asciiTheme="minorHAnsi" w:hAnsiTheme="minorHAnsi" w:cs="Arial"/>
          <w:sz w:val="22"/>
          <w:szCs w:val="22"/>
          <w:lang w:val="en-GB"/>
        </w:rPr>
        <w:t>consultant</w:t>
      </w:r>
      <w:r w:rsidRPr="00CB731B">
        <w:rPr>
          <w:rFonts w:asciiTheme="minorHAnsi" w:hAnsiTheme="minorHAnsi" w:cs="Arial"/>
          <w:sz w:val="22"/>
          <w:szCs w:val="22"/>
          <w:lang w:val="en-GB"/>
        </w:rPr>
        <w:t xml:space="preserve"> if performance is not satisfactory and/or to choose another vender from the tenders.</w:t>
      </w:r>
    </w:p>
    <w:p w14:paraId="7E324CC8" w14:textId="77777777" w:rsidR="005F1495" w:rsidRPr="00CB731B" w:rsidRDefault="005F1495" w:rsidP="005F1495">
      <w:pPr>
        <w:pStyle w:val="ListBullet1"/>
        <w:numPr>
          <w:ilvl w:val="0"/>
          <w:numId w:val="0"/>
        </w:numPr>
        <w:spacing w:before="120" w:after="120"/>
        <w:rPr>
          <w:rFonts w:asciiTheme="minorHAnsi" w:hAnsiTheme="minorHAnsi" w:cs="Arial"/>
          <w:b/>
          <w:sz w:val="22"/>
          <w:szCs w:val="22"/>
          <w:lang w:val="en-GB"/>
        </w:rPr>
      </w:pPr>
      <w:r w:rsidRPr="00CB731B">
        <w:rPr>
          <w:rFonts w:asciiTheme="minorHAnsi" w:hAnsiTheme="minorHAnsi" w:cs="Arial"/>
          <w:b/>
          <w:sz w:val="22"/>
          <w:szCs w:val="22"/>
          <w:lang w:val="en-GB"/>
        </w:rPr>
        <w:t>11.</w:t>
      </w:r>
      <w:r w:rsidRPr="00CB731B">
        <w:rPr>
          <w:rFonts w:asciiTheme="minorHAnsi" w:hAnsiTheme="minorHAnsi" w:cs="Arial"/>
          <w:b/>
          <w:sz w:val="22"/>
          <w:szCs w:val="22"/>
          <w:lang w:val="en-GB"/>
        </w:rPr>
        <w:tab/>
        <w:t>Environmental Considerations</w:t>
      </w:r>
    </w:p>
    <w:p w14:paraId="6AB88ABE" w14:textId="77777777" w:rsidR="005F1495" w:rsidRPr="00CB731B" w:rsidRDefault="005F1495" w:rsidP="005F1495">
      <w:pPr>
        <w:spacing w:before="120" w:after="120"/>
        <w:rPr>
          <w:rFonts w:asciiTheme="minorHAnsi" w:hAnsiTheme="minorHAnsi" w:cs="Arial"/>
          <w:iCs/>
          <w:sz w:val="22"/>
          <w:szCs w:val="22"/>
          <w:lang w:val="en-GB"/>
        </w:rPr>
      </w:pPr>
      <w:r w:rsidRPr="00CB731B">
        <w:rPr>
          <w:rFonts w:asciiTheme="minorHAnsi" w:hAnsiTheme="minorHAnsi" w:cs="Arial"/>
          <w:iCs/>
          <w:sz w:val="22"/>
          <w:szCs w:val="22"/>
          <w:lang w:val="en-GB"/>
        </w:rPr>
        <w:t>The EEA runs a certified environmental management system (EMAS) and aims to minimise the environmental impact of all its activities, including those carried out under contract. The future contractor will, therefore, be requested to consider the EEA environmental management guidelines in the implementation of the contract, in particular, those relating to business travel, electronic means of communication, paper and energy consumption. Further information on the EMAS system can be found on the EEA homepage:</w:t>
      </w:r>
    </w:p>
    <w:p w14:paraId="44AF7F0E" w14:textId="77777777" w:rsidR="005F1495" w:rsidRPr="00CB731B" w:rsidRDefault="007646AC" w:rsidP="005F1495">
      <w:pPr>
        <w:spacing w:before="120" w:after="120"/>
        <w:rPr>
          <w:rFonts w:asciiTheme="minorHAnsi" w:hAnsiTheme="minorHAnsi" w:cs="Arial"/>
          <w:iCs/>
          <w:sz w:val="22"/>
          <w:szCs w:val="22"/>
          <w:lang w:val="en-GB"/>
        </w:rPr>
      </w:pPr>
      <w:hyperlink r:id="rId10" w:history="1">
        <w:r w:rsidR="005F1495" w:rsidRPr="00CB731B">
          <w:rPr>
            <w:rStyle w:val="Hyperlink"/>
            <w:rFonts w:asciiTheme="minorHAnsi" w:hAnsiTheme="minorHAnsi" w:cs="Arial"/>
            <w:iCs/>
            <w:sz w:val="22"/>
            <w:szCs w:val="22"/>
            <w:lang w:val="en-GB"/>
          </w:rPr>
          <w:t>http://www.eea.europa.eu/documents/emas</w:t>
        </w:r>
      </w:hyperlink>
      <w:r w:rsidR="005F1495" w:rsidRPr="00CB731B">
        <w:rPr>
          <w:rFonts w:asciiTheme="minorHAnsi" w:hAnsiTheme="minorHAnsi" w:cs="Arial"/>
          <w:iCs/>
          <w:sz w:val="22"/>
          <w:szCs w:val="22"/>
          <w:lang w:val="en-GB"/>
        </w:rPr>
        <w:t>.</w:t>
      </w:r>
    </w:p>
    <w:p w14:paraId="1BAA025F" w14:textId="77777777" w:rsidR="005F1495" w:rsidRPr="00CB731B" w:rsidRDefault="005F1495" w:rsidP="005F1495">
      <w:pPr>
        <w:spacing w:before="120" w:after="120"/>
        <w:rPr>
          <w:rFonts w:asciiTheme="minorHAnsi" w:hAnsiTheme="minorHAnsi" w:cs="Arial"/>
          <w:iCs/>
          <w:sz w:val="22"/>
          <w:szCs w:val="22"/>
          <w:lang w:val="en-GB"/>
        </w:rPr>
      </w:pPr>
      <w:r w:rsidRPr="00CB731B">
        <w:rPr>
          <w:rFonts w:asciiTheme="minorHAnsi" w:hAnsiTheme="minorHAnsi" w:cs="Arial"/>
          <w:iCs/>
          <w:sz w:val="22"/>
          <w:szCs w:val="22"/>
          <w:lang w:val="en-GB"/>
        </w:rPr>
        <w:t>Moreover, it is strongly recommended that tenders are submitted in an environmentally friendly way, e.g., by choosing a simple and clear structure (list of contents and consecutive page numbering), double-sided printing, limiting attachments to what is required in the technical specifications (no additional material) and avoiding plastic folders or binders.</w:t>
      </w:r>
    </w:p>
    <w:p w14:paraId="6429B886" w14:textId="77777777" w:rsidR="005F1495" w:rsidRPr="00CB731B" w:rsidRDefault="005F1495" w:rsidP="005F1495">
      <w:pPr>
        <w:pStyle w:val="ListBullet1"/>
        <w:numPr>
          <w:ilvl w:val="0"/>
          <w:numId w:val="0"/>
        </w:numPr>
        <w:spacing w:before="120" w:after="120"/>
        <w:rPr>
          <w:rFonts w:asciiTheme="minorHAnsi" w:hAnsiTheme="minorHAnsi" w:cs="Arial"/>
          <w:b/>
          <w:sz w:val="22"/>
          <w:szCs w:val="22"/>
          <w:lang w:val="en-GB"/>
        </w:rPr>
      </w:pPr>
      <w:r w:rsidRPr="00CB731B">
        <w:rPr>
          <w:rFonts w:asciiTheme="minorHAnsi" w:hAnsiTheme="minorHAnsi" w:cs="Arial"/>
          <w:b/>
          <w:sz w:val="22"/>
          <w:szCs w:val="22"/>
          <w:lang w:val="en-GB"/>
        </w:rPr>
        <w:t>12.</w:t>
      </w:r>
      <w:r w:rsidRPr="00CB731B">
        <w:rPr>
          <w:rFonts w:asciiTheme="minorHAnsi" w:hAnsiTheme="minorHAnsi" w:cs="Arial"/>
          <w:b/>
          <w:sz w:val="22"/>
          <w:szCs w:val="22"/>
          <w:lang w:val="en-GB"/>
        </w:rPr>
        <w:tab/>
        <w:t>Annexes</w:t>
      </w:r>
    </w:p>
    <w:p w14:paraId="2F98C77E"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Annex 1: Tender submission form</w:t>
      </w:r>
    </w:p>
    <w:p w14:paraId="132A0C4F"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Annex 2: Declaration on exclusion criteria</w:t>
      </w:r>
    </w:p>
    <w:p w14:paraId="4F26FCE1"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 xml:space="preserve">Annex 3: Legal entity form </w:t>
      </w:r>
    </w:p>
    <w:p w14:paraId="25C016D6"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Annex 4: Financial identification form</w:t>
      </w:r>
    </w:p>
    <w:p w14:paraId="5538D413" w14:textId="77777777" w:rsidR="005F1495" w:rsidRPr="00CB731B"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Annex 5: Price quotation</w:t>
      </w:r>
    </w:p>
    <w:p w14:paraId="002CCFEC" w14:textId="77777777" w:rsidR="005F1495" w:rsidRDefault="005F1495" w:rsidP="005F1495">
      <w:pPr>
        <w:pStyle w:val="ListBullet1"/>
        <w:numPr>
          <w:ilvl w:val="0"/>
          <w:numId w:val="0"/>
        </w:numPr>
        <w:spacing w:before="120" w:after="120"/>
        <w:rPr>
          <w:rFonts w:asciiTheme="minorHAnsi" w:hAnsiTheme="minorHAnsi" w:cs="Arial"/>
          <w:sz w:val="22"/>
          <w:szCs w:val="22"/>
          <w:lang w:val="en-GB"/>
        </w:rPr>
      </w:pPr>
      <w:r w:rsidRPr="00CB731B">
        <w:rPr>
          <w:rFonts w:asciiTheme="minorHAnsi" w:hAnsiTheme="minorHAnsi" w:cs="Arial"/>
          <w:sz w:val="22"/>
          <w:szCs w:val="22"/>
          <w:lang w:val="en-GB"/>
        </w:rPr>
        <w:t>Annex 6: Draft framework contract and draft order form</w:t>
      </w:r>
    </w:p>
    <w:p w14:paraId="52313D3E" w14:textId="77777777" w:rsidR="006001D2" w:rsidRDefault="006001D2" w:rsidP="005F1495">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Annex 7: Rules for the reimbursement of travel expenses</w:t>
      </w:r>
    </w:p>
    <w:p w14:paraId="46074951" w14:textId="77777777" w:rsidR="006001D2" w:rsidRPr="00CB731B" w:rsidRDefault="006001D2" w:rsidP="005F1495">
      <w:pPr>
        <w:pStyle w:val="ListBullet1"/>
        <w:numPr>
          <w:ilvl w:val="0"/>
          <w:numId w:val="0"/>
        </w:numPr>
        <w:spacing w:before="120" w:after="120"/>
        <w:rPr>
          <w:rFonts w:asciiTheme="minorHAnsi" w:hAnsiTheme="minorHAnsi" w:cs="Arial"/>
          <w:sz w:val="22"/>
          <w:szCs w:val="22"/>
          <w:lang w:val="en-GB"/>
        </w:rPr>
      </w:pPr>
      <w:r>
        <w:rPr>
          <w:rFonts w:asciiTheme="minorHAnsi" w:hAnsiTheme="minorHAnsi" w:cs="Arial"/>
          <w:sz w:val="22"/>
          <w:szCs w:val="22"/>
          <w:lang w:val="en-GB"/>
        </w:rPr>
        <w:t>Annex 8: Common European framework of languages</w:t>
      </w:r>
    </w:p>
    <w:p w14:paraId="20948FD4" w14:textId="77777777" w:rsidR="00B06D6E" w:rsidRPr="00CB731B" w:rsidRDefault="00B06D6E">
      <w:pPr>
        <w:rPr>
          <w:lang w:val="en-GB"/>
        </w:rPr>
      </w:pPr>
    </w:p>
    <w:sectPr w:rsidR="00B06D6E" w:rsidRPr="00CB731B" w:rsidSect="00917AD6">
      <w:footerReference w:type="default" r:id="rId11"/>
      <w:headerReference w:type="first" r:id="rId12"/>
      <w:pgSz w:w="12240" w:h="15840" w:code="1"/>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4CD1F" w14:textId="77777777" w:rsidR="00915094" w:rsidRDefault="00915094" w:rsidP="005F1495">
      <w:pPr>
        <w:spacing w:after="0"/>
      </w:pPr>
      <w:r>
        <w:separator/>
      </w:r>
    </w:p>
  </w:endnote>
  <w:endnote w:type="continuationSeparator" w:id="0">
    <w:p w14:paraId="0D1136AB" w14:textId="77777777" w:rsidR="00915094" w:rsidRDefault="00915094" w:rsidP="005F14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9C7DD" w14:textId="77777777" w:rsidR="00915094" w:rsidRPr="00B75D76" w:rsidRDefault="00915094" w:rsidP="00917AD6">
    <w:pPr>
      <w:pStyle w:val="Footer"/>
      <w:jc w:val="right"/>
      <w:rPr>
        <w:rFonts w:asciiTheme="minorHAnsi" w:hAnsiTheme="minorHAnsi" w:cs="Arial"/>
        <w:sz w:val="18"/>
        <w:szCs w:val="16"/>
      </w:rPr>
    </w:pPr>
    <w:r w:rsidRPr="00B75D76">
      <w:rPr>
        <w:rFonts w:asciiTheme="minorHAnsi" w:hAnsiTheme="minorHAnsi" w:cs="Arial"/>
        <w:sz w:val="18"/>
        <w:szCs w:val="16"/>
      </w:rPr>
      <w:t xml:space="preserve">Page </w:t>
    </w:r>
    <w:r w:rsidRPr="00B75D76">
      <w:rPr>
        <w:rFonts w:asciiTheme="minorHAnsi" w:hAnsiTheme="minorHAnsi" w:cs="Arial"/>
        <w:sz w:val="18"/>
        <w:szCs w:val="16"/>
      </w:rPr>
      <w:fldChar w:fldCharType="begin"/>
    </w:r>
    <w:r w:rsidRPr="00B75D76">
      <w:rPr>
        <w:rFonts w:asciiTheme="minorHAnsi" w:hAnsiTheme="minorHAnsi" w:cs="Arial"/>
        <w:sz w:val="18"/>
        <w:szCs w:val="16"/>
      </w:rPr>
      <w:instrText xml:space="preserve"> PAGE </w:instrText>
    </w:r>
    <w:r w:rsidRPr="00B75D76">
      <w:rPr>
        <w:rFonts w:asciiTheme="minorHAnsi" w:hAnsiTheme="minorHAnsi" w:cs="Arial"/>
        <w:sz w:val="18"/>
        <w:szCs w:val="16"/>
      </w:rPr>
      <w:fldChar w:fldCharType="separate"/>
    </w:r>
    <w:r w:rsidR="007646AC">
      <w:rPr>
        <w:rFonts w:asciiTheme="minorHAnsi" w:hAnsiTheme="minorHAnsi" w:cs="Arial"/>
        <w:noProof/>
        <w:sz w:val="18"/>
        <w:szCs w:val="16"/>
      </w:rPr>
      <w:t>16</w:t>
    </w:r>
    <w:r w:rsidRPr="00B75D76">
      <w:rPr>
        <w:rFonts w:asciiTheme="minorHAnsi" w:hAnsiTheme="minorHAnsi" w:cs="Arial"/>
        <w:sz w:val="18"/>
        <w:szCs w:val="16"/>
      </w:rPr>
      <w:fldChar w:fldCharType="end"/>
    </w:r>
    <w:r w:rsidRPr="00B75D76">
      <w:rPr>
        <w:rFonts w:asciiTheme="minorHAnsi" w:hAnsiTheme="minorHAnsi" w:cs="Arial"/>
        <w:sz w:val="18"/>
        <w:szCs w:val="16"/>
      </w:rPr>
      <w:t xml:space="preserve"> of </w:t>
    </w:r>
    <w:r w:rsidRPr="00B75D76">
      <w:rPr>
        <w:rFonts w:asciiTheme="minorHAnsi" w:hAnsiTheme="minorHAnsi" w:cs="Arial"/>
        <w:sz w:val="18"/>
        <w:szCs w:val="16"/>
      </w:rPr>
      <w:fldChar w:fldCharType="begin"/>
    </w:r>
    <w:r w:rsidRPr="00B75D76">
      <w:rPr>
        <w:rFonts w:asciiTheme="minorHAnsi" w:hAnsiTheme="minorHAnsi" w:cs="Arial"/>
        <w:sz w:val="18"/>
        <w:szCs w:val="16"/>
      </w:rPr>
      <w:instrText xml:space="preserve"> NUMPAGES </w:instrText>
    </w:r>
    <w:r w:rsidRPr="00B75D76">
      <w:rPr>
        <w:rFonts w:asciiTheme="minorHAnsi" w:hAnsiTheme="minorHAnsi" w:cs="Arial"/>
        <w:sz w:val="18"/>
        <w:szCs w:val="16"/>
      </w:rPr>
      <w:fldChar w:fldCharType="separate"/>
    </w:r>
    <w:r w:rsidR="007646AC">
      <w:rPr>
        <w:rFonts w:asciiTheme="minorHAnsi" w:hAnsiTheme="minorHAnsi" w:cs="Arial"/>
        <w:noProof/>
        <w:sz w:val="18"/>
        <w:szCs w:val="16"/>
      </w:rPr>
      <w:t>16</w:t>
    </w:r>
    <w:r w:rsidRPr="00B75D76">
      <w:rPr>
        <w:rFonts w:asciiTheme="minorHAnsi" w:hAnsiTheme="minorHAnsi" w:cs="Arial"/>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FC179" w14:textId="77777777" w:rsidR="00915094" w:rsidRDefault="00915094" w:rsidP="005F1495">
      <w:pPr>
        <w:spacing w:after="0"/>
      </w:pPr>
      <w:r>
        <w:separator/>
      </w:r>
    </w:p>
  </w:footnote>
  <w:footnote w:type="continuationSeparator" w:id="0">
    <w:p w14:paraId="33ACCBE5" w14:textId="77777777" w:rsidR="00915094" w:rsidRDefault="00915094" w:rsidP="005F1495">
      <w:pPr>
        <w:spacing w:after="0"/>
      </w:pPr>
      <w:r>
        <w:continuationSeparator/>
      </w:r>
    </w:p>
  </w:footnote>
  <w:footnote w:id="1">
    <w:p w14:paraId="0E84D769" w14:textId="77777777" w:rsidR="00915094" w:rsidRPr="00E905B2" w:rsidRDefault="00915094" w:rsidP="005F1495">
      <w:pPr>
        <w:pStyle w:val="FootnoteText"/>
        <w:rPr>
          <w:rFonts w:asciiTheme="minorHAnsi" w:hAnsiTheme="minorHAnsi" w:cs="Arial"/>
          <w:sz w:val="16"/>
          <w:szCs w:val="16"/>
          <w:lang w:val="en-GB"/>
        </w:rPr>
      </w:pPr>
      <w:r w:rsidRPr="00E905B2">
        <w:rPr>
          <w:rStyle w:val="FootnoteReference"/>
          <w:rFonts w:asciiTheme="minorHAnsi" w:hAnsiTheme="minorHAnsi" w:cs="Arial"/>
          <w:sz w:val="18"/>
          <w:szCs w:val="16"/>
        </w:rPr>
        <w:footnoteRef/>
      </w:r>
      <w:r w:rsidRPr="00E905B2">
        <w:rPr>
          <w:rFonts w:asciiTheme="minorHAnsi" w:hAnsiTheme="minorHAnsi" w:cs="Arial"/>
          <w:sz w:val="18"/>
          <w:szCs w:val="16"/>
          <w:lang w:val="en-GB"/>
        </w:rPr>
        <w:t xml:space="preserve"> OJEU L 126 of 21.5.2009, p. 13.</w:t>
      </w:r>
    </w:p>
  </w:footnote>
  <w:footnote w:id="2">
    <w:p w14:paraId="194895F0" w14:textId="77777777" w:rsidR="00915094" w:rsidRPr="00B54ACC" w:rsidRDefault="00915094" w:rsidP="005F1495">
      <w:pPr>
        <w:pStyle w:val="FootnoteText"/>
        <w:ind w:left="112" w:hanging="112"/>
        <w:rPr>
          <w:rFonts w:asciiTheme="minorHAnsi" w:hAnsiTheme="minorHAnsi"/>
          <w:sz w:val="18"/>
          <w:lang w:val="en-GB"/>
        </w:rPr>
      </w:pPr>
      <w:r w:rsidRPr="00B54ACC">
        <w:rPr>
          <w:rStyle w:val="FootnoteReference"/>
          <w:rFonts w:asciiTheme="minorHAnsi" w:hAnsiTheme="minorHAnsi"/>
          <w:sz w:val="18"/>
        </w:rPr>
        <w:footnoteRef/>
      </w:r>
      <w:r w:rsidRPr="00B54ACC">
        <w:rPr>
          <w:rFonts w:asciiTheme="minorHAnsi" w:hAnsiTheme="minorHAnsi"/>
          <w:sz w:val="18"/>
          <w:lang w:val="en-GB"/>
        </w:rPr>
        <w:t xml:space="preserve"> At this point in time, tenderers established in one of the following countries are eligible: </w:t>
      </w:r>
      <w:r>
        <w:rPr>
          <w:rFonts w:asciiTheme="minorHAnsi" w:hAnsiTheme="minorHAnsi"/>
          <w:sz w:val="18"/>
          <w:lang w:val="en-GB"/>
        </w:rPr>
        <w:t xml:space="preserve">EEA member countries, i.e. </w:t>
      </w:r>
      <w:r w:rsidRPr="00B54ACC">
        <w:rPr>
          <w:rFonts w:asciiTheme="minorHAnsi" w:hAnsiTheme="minorHAnsi"/>
          <w:sz w:val="18"/>
          <w:lang w:val="en-GB"/>
        </w:rPr>
        <w:t>EU-28, Iceland, Liechtenstein, Norway, Switzerland and Turkey</w:t>
      </w:r>
      <w:r>
        <w:rPr>
          <w:rFonts w:asciiTheme="minorHAnsi" w:hAnsiTheme="minorHAnsi"/>
          <w:sz w:val="18"/>
          <w:lang w:val="en-GB"/>
        </w:rPr>
        <w:t>; and under the stabilisation and association agreements: FYROM, Albania, Montenegro and Serbia.</w:t>
      </w:r>
    </w:p>
  </w:footnote>
  <w:footnote w:id="3">
    <w:p w14:paraId="514A3C34" w14:textId="77777777" w:rsidR="00915094" w:rsidRPr="00B54ACC" w:rsidRDefault="00915094" w:rsidP="005F1495">
      <w:pPr>
        <w:pStyle w:val="FootnoteText"/>
        <w:ind w:left="142" w:hanging="142"/>
        <w:rPr>
          <w:rFonts w:asciiTheme="minorHAnsi" w:hAnsiTheme="minorHAnsi"/>
          <w:lang w:val="en-GB"/>
        </w:rPr>
      </w:pPr>
      <w:r w:rsidRPr="00B54ACC">
        <w:rPr>
          <w:rStyle w:val="FootnoteReference"/>
          <w:rFonts w:asciiTheme="minorHAnsi" w:hAnsiTheme="minorHAnsi"/>
          <w:sz w:val="18"/>
        </w:rPr>
        <w:footnoteRef/>
      </w:r>
      <w:r w:rsidRPr="00B54ACC">
        <w:rPr>
          <w:rFonts w:asciiTheme="minorHAnsi" w:hAnsiTheme="minorHAnsi"/>
          <w:lang w:val="en-GB"/>
        </w:rPr>
        <w:t xml:space="preserve"> Regulation (EU, </w:t>
      </w:r>
      <w:proofErr w:type="gramStart"/>
      <w:r w:rsidRPr="00B54ACC">
        <w:rPr>
          <w:rFonts w:asciiTheme="minorHAnsi" w:hAnsiTheme="minorHAnsi"/>
          <w:lang w:val="en-GB"/>
        </w:rPr>
        <w:t>Euratom</w:t>
      </w:r>
      <w:proofErr w:type="gramEnd"/>
      <w:r w:rsidRPr="00B54ACC">
        <w:rPr>
          <w:rFonts w:asciiTheme="minorHAnsi" w:hAnsiTheme="minorHAnsi"/>
          <w:lang w:val="en-GB"/>
        </w:rPr>
        <w:t>) No 966/2012 of the European Parliament and of the Council of 25.10.2012, OJEU L 298/1 of 26.10.2012.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28" w:type="dxa"/>
      <w:tblLook w:val="01E0" w:firstRow="1" w:lastRow="1" w:firstColumn="1" w:lastColumn="1" w:noHBand="0" w:noVBand="0"/>
    </w:tblPr>
    <w:tblGrid>
      <w:gridCol w:w="3969"/>
      <w:gridCol w:w="4959"/>
    </w:tblGrid>
    <w:tr w:rsidR="00915094" w14:paraId="3CA53257" w14:textId="77777777" w:rsidTr="00917AD6">
      <w:tc>
        <w:tcPr>
          <w:tcW w:w="3969" w:type="dxa"/>
          <w:shd w:val="clear" w:color="auto" w:fill="auto"/>
        </w:tcPr>
        <w:p w14:paraId="1A806741" w14:textId="77777777" w:rsidR="00915094" w:rsidRPr="00B54ACC" w:rsidRDefault="00915094" w:rsidP="00917AD6">
          <w:pPr>
            <w:pStyle w:val="Header"/>
            <w:spacing w:before="360"/>
            <w:rPr>
              <w:rFonts w:asciiTheme="minorHAnsi" w:hAnsiTheme="minorHAnsi" w:cs="Arial"/>
              <w:b/>
              <w:sz w:val="20"/>
            </w:rPr>
          </w:pPr>
          <w:r w:rsidRPr="00B54ACC">
            <w:rPr>
              <w:rFonts w:asciiTheme="minorHAnsi" w:hAnsiTheme="minorHAnsi" w:cs="Arial"/>
              <w:b/>
              <w:sz w:val="22"/>
            </w:rPr>
            <w:t>ANNEX I – TENDER SPECIFICATIONS</w:t>
          </w:r>
        </w:p>
      </w:tc>
      <w:tc>
        <w:tcPr>
          <w:tcW w:w="4959" w:type="dxa"/>
          <w:shd w:val="clear" w:color="auto" w:fill="auto"/>
        </w:tcPr>
        <w:p w14:paraId="4B05E814" w14:textId="77777777" w:rsidR="00915094" w:rsidRDefault="00915094" w:rsidP="00917AD6">
          <w:pPr>
            <w:pStyle w:val="Header"/>
            <w:spacing w:before="60" w:after="120"/>
          </w:pPr>
          <w:r w:rsidRPr="007222F9">
            <w:rPr>
              <w:rFonts w:ascii="Arial" w:hAnsi="Arial" w:cs="Arial"/>
              <w:b/>
              <w:bCs/>
              <w:kern w:val="32"/>
              <w:sz w:val="32"/>
              <w:szCs w:val="32"/>
            </w:rPr>
            <w:t xml:space="preserve">           </w:t>
          </w:r>
          <w:r>
            <w:rPr>
              <w:rFonts w:ascii="Arial" w:hAnsi="Arial" w:cs="Arial"/>
              <w:b/>
              <w:bCs/>
              <w:noProof/>
              <w:kern w:val="32"/>
              <w:sz w:val="32"/>
              <w:szCs w:val="32"/>
              <w:lang w:val="en-GB" w:eastAsia="en-GB"/>
            </w:rPr>
            <w:drawing>
              <wp:inline distT="0" distB="0" distL="0" distR="0" wp14:anchorId="40D7B19C" wp14:editId="2DC58B7C">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14:paraId="2888FCBD" w14:textId="77777777" w:rsidR="00915094" w:rsidRDefault="00915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B326F"/>
    <w:multiLevelType w:val="hybridMultilevel"/>
    <w:tmpl w:val="FAB6DE8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893249F"/>
    <w:multiLevelType w:val="hybridMultilevel"/>
    <w:tmpl w:val="982AEC98"/>
    <w:lvl w:ilvl="0" w:tplc="1BD4D90A">
      <w:start w:val="1"/>
      <w:numFmt w:val="decimal"/>
      <w:lvlText w:val="%1."/>
      <w:lvlJc w:val="left"/>
      <w:pPr>
        <w:tabs>
          <w:tab w:val="num" w:pos="644"/>
        </w:tabs>
        <w:ind w:left="644" w:hanging="360"/>
      </w:pPr>
      <w:rPr>
        <w:rFont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FA662B"/>
    <w:multiLevelType w:val="hybridMultilevel"/>
    <w:tmpl w:val="95AA1908"/>
    <w:lvl w:ilvl="0" w:tplc="F1F2937A">
      <w:start w:val="1"/>
      <w:numFmt w:val="bullet"/>
      <w:lvlText w:val=""/>
      <w:lvlJc w:val="left"/>
      <w:pPr>
        <w:tabs>
          <w:tab w:val="num" w:pos="1095"/>
        </w:tabs>
        <w:ind w:left="1095" w:hanging="454"/>
      </w:pPr>
      <w:rPr>
        <w:rFonts w:ascii="Wingdings" w:hAnsi="Wingdings" w:hint="default"/>
        <w:sz w:val="18"/>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
    <w:nsid w:val="17C34677"/>
    <w:multiLevelType w:val="multilevel"/>
    <w:tmpl w:val="31C83F20"/>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E474A0D"/>
    <w:multiLevelType w:val="hybridMultilevel"/>
    <w:tmpl w:val="2BF26F9A"/>
    <w:lvl w:ilvl="0" w:tplc="8CEE044C">
      <w:start w:val="1"/>
      <w:numFmt w:val="bullet"/>
      <w:lvlText w:val="o"/>
      <w:lvlJc w:val="left"/>
      <w:pPr>
        <w:tabs>
          <w:tab w:val="num" w:pos="567"/>
        </w:tabs>
        <w:ind w:left="567" w:hanging="283"/>
      </w:pPr>
      <w:rPr>
        <w:rFonts w:ascii="Courier New" w:hAnsi="Courier New"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8B7F9B"/>
    <w:multiLevelType w:val="hybridMultilevel"/>
    <w:tmpl w:val="2BD050DA"/>
    <w:lvl w:ilvl="0" w:tplc="F1F2937A">
      <w:start w:val="1"/>
      <w:numFmt w:val="bullet"/>
      <w:lvlText w:val=""/>
      <w:lvlJc w:val="left"/>
      <w:pPr>
        <w:tabs>
          <w:tab w:val="num" w:pos="567"/>
        </w:tabs>
        <w:ind w:left="567" w:hanging="454"/>
      </w:pPr>
      <w:rPr>
        <w:rFonts w:ascii="Wingdings" w:hAnsi="Wingdings" w:hint="default"/>
      </w:rPr>
    </w:lvl>
    <w:lvl w:ilvl="1" w:tplc="816A30A8">
      <w:start w:val="1"/>
      <w:numFmt w:val="lowerLetter"/>
      <w:lvlText w:val="(%2)"/>
      <w:lvlJc w:val="left"/>
      <w:pPr>
        <w:tabs>
          <w:tab w:val="num" w:pos="567"/>
        </w:tabs>
        <w:ind w:left="567" w:hanging="283"/>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5137D60"/>
    <w:multiLevelType w:val="hybridMultilevel"/>
    <w:tmpl w:val="657E28F4"/>
    <w:lvl w:ilvl="0" w:tplc="99087318">
      <w:start w:val="1"/>
      <w:numFmt w:val="bullet"/>
      <w:lvlText w:val="o"/>
      <w:lvlJc w:val="left"/>
      <w:pPr>
        <w:tabs>
          <w:tab w:val="num" w:pos="425"/>
        </w:tabs>
        <w:ind w:left="425" w:hanging="283"/>
      </w:pPr>
      <w:rPr>
        <w:rFonts w:ascii="Courier New" w:hAnsi="Courier New" w:hint="default"/>
        <w:i/>
        <w:sz w:val="22"/>
      </w:rPr>
    </w:lvl>
    <w:lvl w:ilvl="1" w:tplc="08090003" w:tentative="1">
      <w:start w:val="1"/>
      <w:numFmt w:val="bullet"/>
      <w:lvlText w:val="o"/>
      <w:lvlJc w:val="left"/>
      <w:pPr>
        <w:ind w:left="788" w:hanging="360"/>
      </w:pPr>
      <w:rPr>
        <w:rFonts w:ascii="Courier New" w:hAnsi="Courier New" w:cs="Courier New" w:hint="default"/>
      </w:rPr>
    </w:lvl>
    <w:lvl w:ilvl="2" w:tplc="08090005" w:tentative="1">
      <w:start w:val="1"/>
      <w:numFmt w:val="bullet"/>
      <w:lvlText w:val=""/>
      <w:lvlJc w:val="left"/>
      <w:pPr>
        <w:ind w:left="1508" w:hanging="360"/>
      </w:pPr>
      <w:rPr>
        <w:rFonts w:ascii="Wingdings" w:hAnsi="Wingdings" w:hint="default"/>
      </w:rPr>
    </w:lvl>
    <w:lvl w:ilvl="3" w:tplc="08090001" w:tentative="1">
      <w:start w:val="1"/>
      <w:numFmt w:val="bullet"/>
      <w:lvlText w:val=""/>
      <w:lvlJc w:val="left"/>
      <w:pPr>
        <w:ind w:left="2228" w:hanging="360"/>
      </w:pPr>
      <w:rPr>
        <w:rFonts w:ascii="Symbol" w:hAnsi="Symbol" w:hint="default"/>
      </w:rPr>
    </w:lvl>
    <w:lvl w:ilvl="4" w:tplc="08090003" w:tentative="1">
      <w:start w:val="1"/>
      <w:numFmt w:val="bullet"/>
      <w:lvlText w:val="o"/>
      <w:lvlJc w:val="left"/>
      <w:pPr>
        <w:ind w:left="2948" w:hanging="360"/>
      </w:pPr>
      <w:rPr>
        <w:rFonts w:ascii="Courier New" w:hAnsi="Courier New" w:cs="Courier New" w:hint="default"/>
      </w:rPr>
    </w:lvl>
    <w:lvl w:ilvl="5" w:tplc="08090005" w:tentative="1">
      <w:start w:val="1"/>
      <w:numFmt w:val="bullet"/>
      <w:lvlText w:val=""/>
      <w:lvlJc w:val="left"/>
      <w:pPr>
        <w:ind w:left="3668" w:hanging="360"/>
      </w:pPr>
      <w:rPr>
        <w:rFonts w:ascii="Wingdings" w:hAnsi="Wingdings" w:hint="default"/>
      </w:rPr>
    </w:lvl>
    <w:lvl w:ilvl="6" w:tplc="08090001" w:tentative="1">
      <w:start w:val="1"/>
      <w:numFmt w:val="bullet"/>
      <w:lvlText w:val=""/>
      <w:lvlJc w:val="left"/>
      <w:pPr>
        <w:ind w:left="4388" w:hanging="360"/>
      </w:pPr>
      <w:rPr>
        <w:rFonts w:ascii="Symbol" w:hAnsi="Symbol" w:hint="default"/>
      </w:rPr>
    </w:lvl>
    <w:lvl w:ilvl="7" w:tplc="08090003" w:tentative="1">
      <w:start w:val="1"/>
      <w:numFmt w:val="bullet"/>
      <w:lvlText w:val="o"/>
      <w:lvlJc w:val="left"/>
      <w:pPr>
        <w:ind w:left="5108" w:hanging="360"/>
      </w:pPr>
      <w:rPr>
        <w:rFonts w:ascii="Courier New" w:hAnsi="Courier New" w:cs="Courier New" w:hint="default"/>
      </w:rPr>
    </w:lvl>
    <w:lvl w:ilvl="8" w:tplc="08090005" w:tentative="1">
      <w:start w:val="1"/>
      <w:numFmt w:val="bullet"/>
      <w:lvlText w:val=""/>
      <w:lvlJc w:val="left"/>
      <w:pPr>
        <w:ind w:left="5828" w:hanging="360"/>
      </w:pPr>
      <w:rPr>
        <w:rFonts w:ascii="Wingdings" w:hAnsi="Wingdings" w:hint="default"/>
      </w:rPr>
    </w:lvl>
  </w:abstractNum>
  <w:abstractNum w:abstractNumId="7">
    <w:nsid w:val="261A6969"/>
    <w:multiLevelType w:val="hybridMultilevel"/>
    <w:tmpl w:val="7C648DE0"/>
    <w:lvl w:ilvl="0" w:tplc="C262E032">
      <w:start w:val="6"/>
      <w:numFmt w:val="bullet"/>
      <w:lvlText w:val="-"/>
      <w:lvlJc w:val="left"/>
      <w:pPr>
        <w:ind w:left="765" w:hanging="360"/>
      </w:pPr>
      <w:rPr>
        <w:rFonts w:ascii="Calibri" w:eastAsia="Times New Roman" w:hAnsi="Calibri"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339D3FFF"/>
    <w:multiLevelType w:val="hybridMultilevel"/>
    <w:tmpl w:val="80D041B8"/>
    <w:lvl w:ilvl="0" w:tplc="44E097DC">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BE1B1B"/>
    <w:multiLevelType w:val="hybridMultilevel"/>
    <w:tmpl w:val="281C3D3E"/>
    <w:lvl w:ilvl="0" w:tplc="C820ED8A">
      <w:start w:val="1"/>
      <w:numFmt w:val="decimal"/>
      <w:lvlText w:val="%1."/>
      <w:lvlJc w:val="left"/>
      <w:pPr>
        <w:tabs>
          <w:tab w:val="num" w:pos="567"/>
        </w:tabs>
        <w:ind w:left="567" w:hanging="567"/>
      </w:pPr>
      <w:rPr>
        <w:rFonts w:hint="default"/>
      </w:rPr>
    </w:lvl>
    <w:lvl w:ilvl="1" w:tplc="50AAEFA6">
      <w:start w:val="1"/>
      <w:numFmt w:val="bullet"/>
      <w:lvlText w:val="o"/>
      <w:lvlJc w:val="left"/>
      <w:pPr>
        <w:tabs>
          <w:tab w:val="num" w:pos="567"/>
        </w:tabs>
        <w:ind w:left="567" w:hanging="283"/>
      </w:pPr>
      <w:rPr>
        <w:rFonts w:ascii="Courier New" w:hAnsi="Courier New" w:hint="default"/>
        <w:sz w:val="18"/>
      </w:rPr>
    </w:lvl>
    <w:lvl w:ilvl="2" w:tplc="C262E032">
      <w:start w:val="6"/>
      <w:numFmt w:val="bullet"/>
      <w:lvlText w:val="-"/>
      <w:lvlJc w:val="left"/>
      <w:pPr>
        <w:ind w:left="2340" w:hanging="360"/>
      </w:pPr>
      <w:rPr>
        <w:rFonts w:ascii="Calibri" w:eastAsia="Times New Roman" w:hAnsi="Calibri"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3F8E63AC"/>
    <w:multiLevelType w:val="hybridMultilevel"/>
    <w:tmpl w:val="F7784AC4"/>
    <w:lvl w:ilvl="0" w:tplc="80326630">
      <w:start w:val="8"/>
      <w:numFmt w:val="decimal"/>
      <w:lvlText w:val="%1."/>
      <w:lvlJc w:val="left"/>
      <w:pPr>
        <w:tabs>
          <w:tab w:val="num" w:pos="434"/>
        </w:tabs>
        <w:ind w:left="434" w:hanging="360"/>
      </w:pPr>
      <w:rPr>
        <w:rFonts w:hint="default"/>
      </w:rPr>
    </w:lvl>
    <w:lvl w:ilvl="1" w:tplc="50AAEFA6">
      <w:start w:val="1"/>
      <w:numFmt w:val="bullet"/>
      <w:lvlText w:val="o"/>
      <w:lvlJc w:val="left"/>
      <w:pPr>
        <w:tabs>
          <w:tab w:val="num" w:pos="1077"/>
        </w:tabs>
        <w:ind w:left="1077" w:hanging="283"/>
      </w:pPr>
      <w:rPr>
        <w:rFonts w:ascii="Courier New" w:hAnsi="Courier New" w:hint="default"/>
        <w:sz w:val="18"/>
      </w:rPr>
    </w:lvl>
    <w:lvl w:ilvl="2" w:tplc="0809001B" w:tentative="1">
      <w:start w:val="1"/>
      <w:numFmt w:val="lowerRoman"/>
      <w:lvlText w:val="%3."/>
      <w:lvlJc w:val="right"/>
      <w:pPr>
        <w:tabs>
          <w:tab w:val="num" w:pos="1874"/>
        </w:tabs>
        <w:ind w:left="1874" w:hanging="180"/>
      </w:pPr>
    </w:lvl>
    <w:lvl w:ilvl="3" w:tplc="0809000F" w:tentative="1">
      <w:start w:val="1"/>
      <w:numFmt w:val="decimal"/>
      <w:lvlText w:val="%4."/>
      <w:lvlJc w:val="left"/>
      <w:pPr>
        <w:tabs>
          <w:tab w:val="num" w:pos="2594"/>
        </w:tabs>
        <w:ind w:left="2594" w:hanging="360"/>
      </w:pPr>
    </w:lvl>
    <w:lvl w:ilvl="4" w:tplc="08090019" w:tentative="1">
      <w:start w:val="1"/>
      <w:numFmt w:val="lowerLetter"/>
      <w:lvlText w:val="%5."/>
      <w:lvlJc w:val="left"/>
      <w:pPr>
        <w:tabs>
          <w:tab w:val="num" w:pos="3314"/>
        </w:tabs>
        <w:ind w:left="3314" w:hanging="360"/>
      </w:pPr>
    </w:lvl>
    <w:lvl w:ilvl="5" w:tplc="0809001B" w:tentative="1">
      <w:start w:val="1"/>
      <w:numFmt w:val="lowerRoman"/>
      <w:lvlText w:val="%6."/>
      <w:lvlJc w:val="right"/>
      <w:pPr>
        <w:tabs>
          <w:tab w:val="num" w:pos="4034"/>
        </w:tabs>
        <w:ind w:left="4034" w:hanging="180"/>
      </w:pPr>
    </w:lvl>
    <w:lvl w:ilvl="6" w:tplc="0809000F" w:tentative="1">
      <w:start w:val="1"/>
      <w:numFmt w:val="decimal"/>
      <w:lvlText w:val="%7."/>
      <w:lvlJc w:val="left"/>
      <w:pPr>
        <w:tabs>
          <w:tab w:val="num" w:pos="4754"/>
        </w:tabs>
        <w:ind w:left="4754" w:hanging="360"/>
      </w:pPr>
    </w:lvl>
    <w:lvl w:ilvl="7" w:tplc="08090019" w:tentative="1">
      <w:start w:val="1"/>
      <w:numFmt w:val="lowerLetter"/>
      <w:lvlText w:val="%8."/>
      <w:lvlJc w:val="left"/>
      <w:pPr>
        <w:tabs>
          <w:tab w:val="num" w:pos="5474"/>
        </w:tabs>
        <w:ind w:left="5474" w:hanging="360"/>
      </w:pPr>
    </w:lvl>
    <w:lvl w:ilvl="8" w:tplc="0809001B" w:tentative="1">
      <w:start w:val="1"/>
      <w:numFmt w:val="lowerRoman"/>
      <w:lvlText w:val="%9."/>
      <w:lvlJc w:val="right"/>
      <w:pPr>
        <w:tabs>
          <w:tab w:val="num" w:pos="6194"/>
        </w:tabs>
        <w:ind w:left="6194" w:hanging="180"/>
      </w:pPr>
    </w:lvl>
  </w:abstractNum>
  <w:abstractNum w:abstractNumId="12">
    <w:nsid w:val="41CC6189"/>
    <w:multiLevelType w:val="hybridMultilevel"/>
    <w:tmpl w:val="260CE00A"/>
    <w:lvl w:ilvl="0" w:tplc="C262E032">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830A2C"/>
    <w:multiLevelType w:val="hybridMultilevel"/>
    <w:tmpl w:val="60E838D2"/>
    <w:lvl w:ilvl="0" w:tplc="F1F2937A">
      <w:start w:val="1"/>
      <w:numFmt w:val="bullet"/>
      <w:lvlText w:val=""/>
      <w:lvlJc w:val="left"/>
      <w:pPr>
        <w:tabs>
          <w:tab w:val="num" w:pos="1095"/>
        </w:tabs>
        <w:ind w:left="1095" w:hanging="454"/>
      </w:pPr>
      <w:rPr>
        <w:rFonts w:ascii="Wingdings" w:hAnsi="Wingdings" w:hint="default"/>
        <w:sz w:val="18"/>
      </w:rPr>
    </w:lvl>
    <w:lvl w:ilvl="1" w:tplc="50AAEFA6">
      <w:start w:val="1"/>
      <w:numFmt w:val="bullet"/>
      <w:lvlText w:val="o"/>
      <w:lvlJc w:val="left"/>
      <w:pPr>
        <w:tabs>
          <w:tab w:val="num" w:pos="1720"/>
        </w:tabs>
        <w:ind w:left="1720" w:hanging="283"/>
      </w:pPr>
      <w:rPr>
        <w:rFonts w:ascii="Courier New" w:hAnsi="Courier New" w:hint="default"/>
        <w:sz w:val="18"/>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nsid w:val="4AE321A5"/>
    <w:multiLevelType w:val="hybridMultilevel"/>
    <w:tmpl w:val="FC2838E8"/>
    <w:lvl w:ilvl="0" w:tplc="F1F293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BB6D4B"/>
    <w:multiLevelType w:val="multilevel"/>
    <w:tmpl w:val="DA8A60FE"/>
    <w:lvl w:ilvl="0">
      <w:start w:val="1"/>
      <w:numFmt w:val="decimal"/>
      <w:lvlText w:val="%1."/>
      <w:lvlJc w:val="left"/>
      <w:pPr>
        <w:tabs>
          <w:tab w:val="num" w:pos="567"/>
        </w:tabs>
        <w:ind w:left="567" w:hanging="567"/>
      </w:pPr>
      <w:rPr>
        <w:rFonts w:hint="default"/>
        <w:b/>
        <w:i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548255E8"/>
    <w:multiLevelType w:val="hybridMultilevel"/>
    <w:tmpl w:val="D542DC38"/>
    <w:lvl w:ilvl="0" w:tplc="C262E032">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816F40"/>
    <w:multiLevelType w:val="hybridMultilevel"/>
    <w:tmpl w:val="4EB869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E82C0E"/>
    <w:multiLevelType w:val="hybridMultilevel"/>
    <w:tmpl w:val="36AAA8CA"/>
    <w:lvl w:ilvl="0" w:tplc="8CEE044C">
      <w:start w:val="1"/>
      <w:numFmt w:val="bullet"/>
      <w:lvlText w:val="o"/>
      <w:lvlJc w:val="left"/>
      <w:pPr>
        <w:ind w:left="720" w:hanging="360"/>
      </w:pPr>
      <w:rPr>
        <w:rFonts w:ascii="Courier New" w:hAnsi="Courier New"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1D59C7"/>
    <w:multiLevelType w:val="hybridMultilevel"/>
    <w:tmpl w:val="03AC26BE"/>
    <w:lvl w:ilvl="0" w:tplc="44E097DC">
      <w:start w:val="2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72E6233"/>
    <w:multiLevelType w:val="hybridMultilevel"/>
    <w:tmpl w:val="B7861B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F250C6D"/>
    <w:multiLevelType w:val="hybridMultilevel"/>
    <w:tmpl w:val="D458BED8"/>
    <w:lvl w:ilvl="0" w:tplc="50AAEFA6">
      <w:start w:val="1"/>
      <w:numFmt w:val="bullet"/>
      <w:lvlText w:val="o"/>
      <w:lvlJc w:val="left"/>
      <w:pPr>
        <w:tabs>
          <w:tab w:val="num" w:pos="567"/>
        </w:tabs>
        <w:ind w:left="567" w:hanging="283"/>
      </w:pPr>
      <w:rPr>
        <w:rFonts w:ascii="Courier New" w:hAnsi="Courier New"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5"/>
  </w:num>
  <w:num w:numId="4">
    <w:abstractNumId w:val="9"/>
  </w:num>
  <w:num w:numId="5">
    <w:abstractNumId w:val="11"/>
  </w:num>
  <w:num w:numId="6">
    <w:abstractNumId w:val="2"/>
  </w:num>
  <w:num w:numId="7">
    <w:abstractNumId w:val="13"/>
  </w:num>
  <w:num w:numId="8">
    <w:abstractNumId w:val="3"/>
  </w:num>
  <w:num w:numId="9">
    <w:abstractNumId w:val="21"/>
  </w:num>
  <w:num w:numId="10">
    <w:abstractNumId w:val="15"/>
  </w:num>
  <w:num w:numId="11">
    <w:abstractNumId w:val="1"/>
  </w:num>
  <w:num w:numId="12">
    <w:abstractNumId w:val="17"/>
  </w:num>
  <w:num w:numId="13">
    <w:abstractNumId w:val="7"/>
  </w:num>
  <w:num w:numId="14">
    <w:abstractNumId w:val="16"/>
  </w:num>
  <w:num w:numId="15">
    <w:abstractNumId w:val="12"/>
  </w:num>
  <w:num w:numId="16">
    <w:abstractNumId w:val="20"/>
  </w:num>
  <w:num w:numId="17">
    <w:abstractNumId w:val="0"/>
  </w:num>
  <w:num w:numId="18">
    <w:abstractNumId w:val="14"/>
  </w:num>
  <w:num w:numId="19">
    <w:abstractNumId w:val="6"/>
  </w:num>
  <w:num w:numId="20">
    <w:abstractNumId w:val="8"/>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95"/>
    <w:rsid w:val="000217D3"/>
    <w:rsid w:val="00044973"/>
    <w:rsid w:val="000A7F85"/>
    <w:rsid w:val="000C171E"/>
    <w:rsid w:val="00125A76"/>
    <w:rsid w:val="00143FEA"/>
    <w:rsid w:val="001464C2"/>
    <w:rsid w:val="00151B5D"/>
    <w:rsid w:val="001721EC"/>
    <w:rsid w:val="001D74FE"/>
    <w:rsid w:val="001E52FD"/>
    <w:rsid w:val="001F3544"/>
    <w:rsid w:val="001F5C24"/>
    <w:rsid w:val="001F5E7A"/>
    <w:rsid w:val="0021358E"/>
    <w:rsid w:val="00230E88"/>
    <w:rsid w:val="002D72AA"/>
    <w:rsid w:val="003B289A"/>
    <w:rsid w:val="004016CE"/>
    <w:rsid w:val="00405138"/>
    <w:rsid w:val="00413400"/>
    <w:rsid w:val="00417C17"/>
    <w:rsid w:val="00435336"/>
    <w:rsid w:val="00456FF8"/>
    <w:rsid w:val="004633A2"/>
    <w:rsid w:val="00465678"/>
    <w:rsid w:val="00507B33"/>
    <w:rsid w:val="005A2322"/>
    <w:rsid w:val="005B063D"/>
    <w:rsid w:val="005E4502"/>
    <w:rsid w:val="005F1495"/>
    <w:rsid w:val="006001D2"/>
    <w:rsid w:val="0060054D"/>
    <w:rsid w:val="006903C4"/>
    <w:rsid w:val="00693C87"/>
    <w:rsid w:val="006F5F95"/>
    <w:rsid w:val="007153D1"/>
    <w:rsid w:val="00726C4A"/>
    <w:rsid w:val="007646AC"/>
    <w:rsid w:val="00770374"/>
    <w:rsid w:val="007723BB"/>
    <w:rsid w:val="00781269"/>
    <w:rsid w:val="007D3250"/>
    <w:rsid w:val="007D6479"/>
    <w:rsid w:val="008429EB"/>
    <w:rsid w:val="00844CB3"/>
    <w:rsid w:val="00895530"/>
    <w:rsid w:val="008A64E1"/>
    <w:rsid w:val="008B1075"/>
    <w:rsid w:val="008C3BAB"/>
    <w:rsid w:val="008F0599"/>
    <w:rsid w:val="008F2953"/>
    <w:rsid w:val="00910FC4"/>
    <w:rsid w:val="00915094"/>
    <w:rsid w:val="00915D8C"/>
    <w:rsid w:val="00917AD6"/>
    <w:rsid w:val="00933994"/>
    <w:rsid w:val="00967D15"/>
    <w:rsid w:val="009A5C89"/>
    <w:rsid w:val="00A051CA"/>
    <w:rsid w:val="00AA4DB5"/>
    <w:rsid w:val="00AB583C"/>
    <w:rsid w:val="00AD6668"/>
    <w:rsid w:val="00B06D6E"/>
    <w:rsid w:val="00B1177E"/>
    <w:rsid w:val="00B206D1"/>
    <w:rsid w:val="00B5613A"/>
    <w:rsid w:val="00B758D9"/>
    <w:rsid w:val="00B75D76"/>
    <w:rsid w:val="00B82DAE"/>
    <w:rsid w:val="00BE740E"/>
    <w:rsid w:val="00C06232"/>
    <w:rsid w:val="00C13439"/>
    <w:rsid w:val="00C86192"/>
    <w:rsid w:val="00C939ED"/>
    <w:rsid w:val="00CA093C"/>
    <w:rsid w:val="00CA2E2F"/>
    <w:rsid w:val="00CA4F0F"/>
    <w:rsid w:val="00CB731B"/>
    <w:rsid w:val="00CC0A7F"/>
    <w:rsid w:val="00CF40C3"/>
    <w:rsid w:val="00D15DB4"/>
    <w:rsid w:val="00D23CA4"/>
    <w:rsid w:val="00D301B2"/>
    <w:rsid w:val="00D4004C"/>
    <w:rsid w:val="00D70E6A"/>
    <w:rsid w:val="00D9412F"/>
    <w:rsid w:val="00DB0431"/>
    <w:rsid w:val="00E473A2"/>
    <w:rsid w:val="00E951DE"/>
    <w:rsid w:val="00EC3414"/>
    <w:rsid w:val="00ED069B"/>
    <w:rsid w:val="00EE04B4"/>
    <w:rsid w:val="00EE7E02"/>
    <w:rsid w:val="00EF5101"/>
    <w:rsid w:val="00EF7519"/>
    <w:rsid w:val="00F662EC"/>
    <w:rsid w:val="00F75E7F"/>
    <w:rsid w:val="00F81CF3"/>
    <w:rsid w:val="00F87C18"/>
    <w:rsid w:val="00FA077A"/>
    <w:rsid w:val="00FA6C2D"/>
    <w:rsid w:val="00FB6F38"/>
    <w:rsid w:val="00FF6CD1"/>
    <w:rsid w:val="00FF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B803"/>
  <w15:docId w15:val="{D23920B4-B8BB-42EC-9970-F9B261F1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495"/>
    <w:pPr>
      <w:spacing w:after="240" w:line="240" w:lineRule="auto"/>
      <w:jc w:val="both"/>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5F1495"/>
    <w:pPr>
      <w:tabs>
        <w:tab w:val="left" w:pos="2160"/>
      </w:tabs>
      <w:ind w:left="1077"/>
    </w:pPr>
  </w:style>
  <w:style w:type="paragraph" w:styleId="FootnoteText">
    <w:name w:val="footnote text"/>
    <w:basedOn w:val="Normal"/>
    <w:link w:val="FootnoteTextChar"/>
    <w:semiHidden/>
    <w:rsid w:val="005F1495"/>
    <w:pPr>
      <w:ind w:left="357" w:hanging="357"/>
    </w:pPr>
    <w:rPr>
      <w:sz w:val="20"/>
    </w:rPr>
  </w:style>
  <w:style w:type="character" w:customStyle="1" w:styleId="FootnoteTextChar">
    <w:name w:val="Footnote Text Char"/>
    <w:basedOn w:val="DefaultParagraphFont"/>
    <w:link w:val="FootnoteText"/>
    <w:semiHidden/>
    <w:rsid w:val="005F1495"/>
    <w:rPr>
      <w:rFonts w:ascii="Times New Roman" w:eastAsia="Times New Roman" w:hAnsi="Times New Roman" w:cs="Times New Roman"/>
      <w:sz w:val="20"/>
      <w:szCs w:val="20"/>
      <w:lang w:val="fr-FR"/>
    </w:rPr>
  </w:style>
  <w:style w:type="paragraph" w:customStyle="1" w:styleId="ListBullet1">
    <w:name w:val="List Bullet 1"/>
    <w:basedOn w:val="Normal"/>
    <w:rsid w:val="005F1495"/>
    <w:pPr>
      <w:numPr>
        <w:numId w:val="1"/>
      </w:numPr>
    </w:pPr>
  </w:style>
  <w:style w:type="character" w:styleId="FootnoteReference">
    <w:name w:val="footnote reference"/>
    <w:semiHidden/>
    <w:rsid w:val="005F1495"/>
    <w:rPr>
      <w:vertAlign w:val="superscript"/>
    </w:rPr>
  </w:style>
  <w:style w:type="character" w:styleId="Hyperlink">
    <w:name w:val="Hyperlink"/>
    <w:rsid w:val="005F1495"/>
    <w:rPr>
      <w:color w:val="0000FF"/>
      <w:u w:val="single"/>
    </w:rPr>
  </w:style>
  <w:style w:type="paragraph" w:customStyle="1" w:styleId="Body">
    <w:name w:val="Body"/>
    <w:rsid w:val="005F1495"/>
    <w:pPr>
      <w:spacing w:after="240" w:line="240" w:lineRule="auto"/>
    </w:pPr>
    <w:rPr>
      <w:rFonts w:ascii="Times New Roman" w:eastAsia="Times New Roman" w:hAnsi="Times New Roman" w:cs="Times New Roman"/>
      <w:sz w:val="24"/>
      <w:szCs w:val="20"/>
    </w:rPr>
  </w:style>
  <w:style w:type="paragraph" w:styleId="Header">
    <w:name w:val="header"/>
    <w:basedOn w:val="Normal"/>
    <w:link w:val="HeaderChar"/>
    <w:rsid w:val="005F1495"/>
    <w:pPr>
      <w:tabs>
        <w:tab w:val="center" w:pos="4153"/>
        <w:tab w:val="right" w:pos="8306"/>
      </w:tabs>
    </w:pPr>
  </w:style>
  <w:style w:type="character" w:customStyle="1" w:styleId="HeaderChar">
    <w:name w:val="Header Char"/>
    <w:basedOn w:val="DefaultParagraphFont"/>
    <w:link w:val="Header"/>
    <w:rsid w:val="005F1495"/>
    <w:rPr>
      <w:rFonts w:ascii="Times New Roman" w:eastAsia="Times New Roman" w:hAnsi="Times New Roman" w:cs="Times New Roman"/>
      <w:sz w:val="24"/>
      <w:szCs w:val="20"/>
      <w:lang w:val="fr-FR"/>
    </w:rPr>
  </w:style>
  <w:style w:type="paragraph" w:styleId="BodyText">
    <w:name w:val="Body Text"/>
    <w:basedOn w:val="Normal"/>
    <w:link w:val="BodyTextChar"/>
    <w:rsid w:val="005F1495"/>
    <w:pPr>
      <w:spacing w:after="0"/>
    </w:pPr>
    <w:rPr>
      <w:szCs w:val="24"/>
      <w:lang w:val="en-GB"/>
    </w:rPr>
  </w:style>
  <w:style w:type="character" w:customStyle="1" w:styleId="BodyTextChar">
    <w:name w:val="Body Text Char"/>
    <w:basedOn w:val="DefaultParagraphFont"/>
    <w:link w:val="BodyText"/>
    <w:rsid w:val="005F1495"/>
    <w:rPr>
      <w:rFonts w:ascii="Times New Roman" w:eastAsia="Times New Roman" w:hAnsi="Times New Roman" w:cs="Times New Roman"/>
      <w:sz w:val="24"/>
      <w:szCs w:val="24"/>
    </w:rPr>
  </w:style>
  <w:style w:type="paragraph" w:styleId="Footer">
    <w:name w:val="footer"/>
    <w:basedOn w:val="Normal"/>
    <w:link w:val="FooterChar"/>
    <w:rsid w:val="005F1495"/>
    <w:pPr>
      <w:tabs>
        <w:tab w:val="center" w:pos="4153"/>
        <w:tab w:val="right" w:pos="8306"/>
      </w:tabs>
    </w:pPr>
  </w:style>
  <w:style w:type="character" w:customStyle="1" w:styleId="FooterChar">
    <w:name w:val="Footer Char"/>
    <w:basedOn w:val="DefaultParagraphFont"/>
    <w:link w:val="Footer"/>
    <w:rsid w:val="005F1495"/>
    <w:rPr>
      <w:rFonts w:ascii="Times New Roman" w:eastAsia="Times New Roman" w:hAnsi="Times New Roman" w:cs="Times New Roman"/>
      <w:sz w:val="24"/>
      <w:szCs w:val="20"/>
      <w:lang w:val="fr-FR"/>
    </w:rPr>
  </w:style>
  <w:style w:type="table" w:styleId="TableGrid">
    <w:name w:val="Table Grid"/>
    <w:basedOn w:val="TableNormal"/>
    <w:uiPriority w:val="59"/>
    <w:rsid w:val="005F1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495"/>
    <w:pPr>
      <w:ind w:left="720"/>
      <w:contextualSpacing/>
    </w:pPr>
  </w:style>
  <w:style w:type="paragraph" w:styleId="BalloonText">
    <w:name w:val="Balloon Text"/>
    <w:basedOn w:val="Normal"/>
    <w:link w:val="BalloonTextChar"/>
    <w:uiPriority w:val="99"/>
    <w:semiHidden/>
    <w:unhideWhenUsed/>
    <w:rsid w:val="005F14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95"/>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AD6668"/>
    <w:rPr>
      <w:sz w:val="16"/>
      <w:szCs w:val="16"/>
    </w:rPr>
  </w:style>
  <w:style w:type="paragraph" w:styleId="CommentText">
    <w:name w:val="annotation text"/>
    <w:basedOn w:val="Normal"/>
    <w:link w:val="CommentTextChar"/>
    <w:uiPriority w:val="99"/>
    <w:semiHidden/>
    <w:unhideWhenUsed/>
    <w:rsid w:val="00AD6668"/>
    <w:rPr>
      <w:sz w:val="20"/>
    </w:rPr>
  </w:style>
  <w:style w:type="character" w:customStyle="1" w:styleId="CommentTextChar">
    <w:name w:val="Comment Text Char"/>
    <w:basedOn w:val="DefaultParagraphFont"/>
    <w:link w:val="CommentText"/>
    <w:uiPriority w:val="99"/>
    <w:semiHidden/>
    <w:rsid w:val="00AD6668"/>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D6668"/>
    <w:rPr>
      <w:b/>
      <w:bCs/>
    </w:rPr>
  </w:style>
  <w:style w:type="character" w:customStyle="1" w:styleId="CommentSubjectChar">
    <w:name w:val="Comment Subject Char"/>
    <w:basedOn w:val="CommentTextChar"/>
    <w:link w:val="CommentSubject"/>
    <w:uiPriority w:val="99"/>
    <w:semiHidden/>
    <w:rsid w:val="00AD6668"/>
    <w:rPr>
      <w:rFonts w:ascii="Times New Roman" w:eastAsia="Times New Roman" w:hAnsi="Times New Roman" w:cs="Times New Roman"/>
      <w:b/>
      <w:bCs/>
      <w:sz w:val="20"/>
      <w:szCs w:val="20"/>
      <w:lang w:val="fr-FR"/>
    </w:rPr>
  </w:style>
  <w:style w:type="paragraph" w:customStyle="1" w:styleId="Default">
    <w:name w:val="Default"/>
    <w:basedOn w:val="Normal"/>
    <w:rsid w:val="00CB731B"/>
    <w:pPr>
      <w:autoSpaceDE w:val="0"/>
      <w:autoSpaceDN w:val="0"/>
      <w:spacing w:after="0"/>
      <w:jc w:val="left"/>
    </w:pPr>
    <w:rPr>
      <w:rFonts w:ascii="Calibri" w:eastAsia="Calibri" w:hAnsi="Calibri" w:cs="Calibri"/>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a.europ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ea.europa.eu/documents/emas" TargetMode="External"/><Relationship Id="rId4" Type="http://schemas.openxmlformats.org/officeDocument/2006/relationships/settings" Target="settings.xml"/><Relationship Id="rId9" Type="http://schemas.openxmlformats.org/officeDocument/2006/relationships/hyperlink" Target="http://ec.europa.eu/eurostat/data/databa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85875-9691-4D12-8291-7417B85F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5832</Words>
  <Characters>33246</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Bitten Serena</cp:lastModifiedBy>
  <cp:revision>3</cp:revision>
  <cp:lastPrinted>2014-12-22T15:12:00Z</cp:lastPrinted>
  <dcterms:created xsi:type="dcterms:W3CDTF">2015-02-02T10:14:00Z</dcterms:created>
  <dcterms:modified xsi:type="dcterms:W3CDTF">2015-02-02T10:15:00Z</dcterms:modified>
</cp:coreProperties>
</file>