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4D" w:rsidRPr="004E1BA2" w:rsidRDefault="00454A4D" w:rsidP="00454A4D">
      <w:pPr>
        <w:jc w:val="right"/>
        <w:rPr>
          <w:rFonts w:ascii="NewBskvll BT" w:hAnsi="NewBskvll BT"/>
          <w:b/>
        </w:rPr>
      </w:pPr>
      <w:bookmarkStart w:id="0" w:name="_GoBack"/>
      <w:bookmarkEnd w:id="0"/>
    </w:p>
    <w:p w:rsidR="00454A4D" w:rsidRDefault="00454A4D" w:rsidP="00454A4D">
      <w:pPr>
        <w:pStyle w:val="Heading2"/>
        <w:ind w:right="-694"/>
        <w:rPr>
          <w:rFonts w:ascii="Arial" w:hAnsi="Arial" w:cs="Arial"/>
        </w:rPr>
      </w:pPr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454A4D" w:rsidRDefault="00454A4D" w:rsidP="00454A4D">
      <w:pPr>
        <w:pStyle w:val="Heading2"/>
        <w:ind w:right="-694"/>
        <w:rPr>
          <w:rFonts w:ascii="Arial" w:hAnsi="Arial" w:cs="Arial"/>
        </w:rPr>
      </w:pPr>
    </w:p>
    <w:p w:rsidR="00454A4D" w:rsidRPr="009D3D18" w:rsidRDefault="00454A4D" w:rsidP="00454A4D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454A4D" w:rsidRPr="009D3D18" w:rsidRDefault="00454A4D" w:rsidP="00454A4D">
      <w:pPr>
        <w:rPr>
          <w:rFonts w:ascii="Arial" w:hAnsi="Arial" w:cs="Arial"/>
          <w:sz w:val="20"/>
          <w:szCs w:val="20"/>
        </w:rPr>
      </w:pPr>
    </w:p>
    <w:p w:rsidR="00454A4D" w:rsidRDefault="00454A4D" w:rsidP="00454A4D">
      <w:pPr>
        <w:ind w:right="-694"/>
        <w:jc w:val="center"/>
        <w:rPr>
          <w:rFonts w:ascii="Arial" w:hAnsi="Arial" w:cs="Arial"/>
          <w:b/>
          <w:sz w:val="20"/>
          <w:szCs w:val="20"/>
        </w:rPr>
      </w:pPr>
    </w:p>
    <w:p w:rsidR="00454A4D" w:rsidRPr="009D3D18" w:rsidRDefault="00454A4D" w:rsidP="00454A4D">
      <w:pPr>
        <w:ind w:right="-694"/>
        <w:jc w:val="center"/>
        <w:rPr>
          <w:rFonts w:ascii="Arial" w:hAnsi="Arial" w:cs="Arial"/>
          <w:b/>
          <w:sz w:val="20"/>
          <w:szCs w:val="20"/>
        </w:rPr>
      </w:pPr>
    </w:p>
    <w:p w:rsidR="00454A4D" w:rsidRPr="009D3D18" w:rsidRDefault="00454A4D" w:rsidP="00454A4D">
      <w:pPr>
        <w:rPr>
          <w:rFonts w:ascii="Arial" w:hAnsi="Arial" w:cs="Arial"/>
          <w:b/>
          <w:sz w:val="20"/>
          <w:szCs w:val="20"/>
        </w:rPr>
      </w:pPr>
    </w:p>
    <w:p w:rsidR="00454A4D" w:rsidRPr="00FE6CF3" w:rsidRDefault="00454A4D" w:rsidP="00454A4D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 xml:space="preserve">Price must be quoted in EUR </w:t>
      </w:r>
      <w:r>
        <w:rPr>
          <w:rFonts w:ascii="Arial" w:hAnsi="Arial" w:cs="Arial"/>
          <w:b/>
          <w:sz w:val="20"/>
          <w:szCs w:val="20"/>
        </w:rPr>
        <w:t>excl. VAT</w:t>
      </w:r>
    </w:p>
    <w:p w:rsidR="00454A4D" w:rsidRDefault="00454A4D" w:rsidP="00454A4D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 xml:space="preserve">Price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etc</w:t>
      </w:r>
      <w:r>
        <w:rPr>
          <w:rFonts w:ascii="Arial" w:hAnsi="Arial" w:cs="Arial"/>
          <w:b/>
          <w:sz w:val="20"/>
          <w:szCs w:val="20"/>
        </w:rPr>
        <w:t>…</w:t>
      </w:r>
      <w:r w:rsidRPr="00FE6CF3">
        <w:rPr>
          <w:rFonts w:ascii="Arial" w:hAnsi="Arial" w:cs="Arial"/>
          <w:b/>
          <w:sz w:val="20"/>
          <w:szCs w:val="20"/>
        </w:rPr>
        <w:t>)</w:t>
      </w:r>
    </w:p>
    <w:p w:rsidR="00454A4D" w:rsidRDefault="00454A4D" w:rsidP="00454A4D">
      <w:pPr>
        <w:spacing w:before="120" w:after="120"/>
        <w:ind w:left="568"/>
        <w:rPr>
          <w:rFonts w:ascii="Arial" w:hAnsi="Arial" w:cs="Arial"/>
          <w:b/>
          <w:sz w:val="20"/>
          <w:szCs w:val="20"/>
        </w:rPr>
      </w:pPr>
    </w:p>
    <w:p w:rsidR="00454A4D" w:rsidRDefault="00454A4D" w:rsidP="00454A4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1"/>
        <w:gridCol w:w="3295"/>
        <w:gridCol w:w="2350"/>
      </w:tblGrid>
      <w:tr w:rsidR="00454A4D" w:rsidRPr="0016315D" w:rsidTr="0074284A">
        <w:tc>
          <w:tcPr>
            <w:tcW w:w="28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16315D">
              <w:rPr>
                <w:rFonts w:ascii="Arial" w:hAnsi="Arial" w:cs="Arial"/>
                <w:b/>
                <w:bCs/>
                <w:sz w:val="20"/>
                <w:lang w:eastAsia="en-GB"/>
              </w:rPr>
              <w:t>Role</w:t>
            </w:r>
          </w:p>
        </w:tc>
        <w:tc>
          <w:tcPr>
            <w:tcW w:w="34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jc w:val="center"/>
              <w:rPr>
                <w:rFonts w:ascii="Arial" w:hAnsi="Arial" w:cs="Arial"/>
                <w:sz w:val="20"/>
                <w:shd w:val="clear" w:color="auto" w:fill="FFFF00"/>
                <w:lang w:eastAsia="en-GB"/>
              </w:rPr>
            </w:pPr>
            <w:r w:rsidRPr="0016315D">
              <w:rPr>
                <w:rFonts w:ascii="Arial" w:hAnsi="Arial" w:cs="Arial"/>
                <w:b/>
                <w:bCs/>
                <w:sz w:val="20"/>
                <w:lang w:eastAsia="en-GB"/>
              </w:rPr>
              <w:t>Profile</w:t>
            </w:r>
            <w:r w:rsidRPr="00454A4D">
              <w:rPr>
                <w:rStyle w:val="FootnoteReference"/>
                <w:rFonts w:ascii="Arial" w:hAnsi="Arial" w:cs="Arial"/>
                <w:b/>
                <w:bCs/>
                <w:sz w:val="20"/>
                <w:lang w:eastAsia="en-GB"/>
              </w:rPr>
              <w:footnoteReference w:id="1"/>
            </w:r>
            <w:r w:rsidRPr="0016315D"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2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16315D">
              <w:rPr>
                <w:rFonts w:ascii="Arial" w:hAnsi="Arial" w:cs="Arial"/>
                <w:b/>
                <w:bCs/>
                <w:sz w:val="20"/>
                <w:lang w:eastAsia="en-GB"/>
              </w:rPr>
              <w:t>Daily rate (EUR)</w:t>
            </w:r>
          </w:p>
        </w:tc>
      </w:tr>
      <w:tr w:rsidR="00454A4D" w:rsidRPr="0074284A" w:rsidTr="00454A4D">
        <w:tc>
          <w:tcPr>
            <w:tcW w:w="28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Default="00454A4D" w:rsidP="00454A4D">
            <w:pPr>
              <w:spacing w:before="120" w:after="120"/>
              <w:rPr>
                <w:rFonts w:ascii="Arial" w:hAnsi="Arial" w:cs="Arial"/>
                <w:sz w:val="20"/>
                <w:lang w:eastAsia="en-GB"/>
              </w:rPr>
            </w:pPr>
            <w:r w:rsidRPr="00092B1F">
              <w:rPr>
                <w:rFonts w:ascii="Arial" w:hAnsi="Arial" w:cs="Arial"/>
                <w:sz w:val="20"/>
                <w:lang w:eastAsia="en-GB"/>
              </w:rPr>
              <w:t>Project leader (</w:t>
            </w:r>
            <w:r w:rsidRPr="00092B1F">
              <w:rPr>
                <w:rFonts w:ascii="Arial" w:hAnsi="Arial" w:cs="Arial"/>
                <w:sz w:val="20"/>
                <w:vertAlign w:val="subscript"/>
                <w:lang w:eastAsia="en-GB"/>
              </w:rPr>
              <w:t>PL</w:t>
            </w:r>
            <w:r w:rsidRPr="00092B1F">
              <w:rPr>
                <w:rFonts w:ascii="Arial" w:hAnsi="Arial" w:cs="Arial"/>
                <w:sz w:val="20"/>
                <w:lang w:eastAsia="en-GB"/>
              </w:rPr>
              <w:t xml:space="preserve">) and </w:t>
            </w:r>
          </w:p>
          <w:p w:rsidR="00454A4D" w:rsidRPr="00092B1F" w:rsidRDefault="00454A4D" w:rsidP="00454A4D">
            <w:pPr>
              <w:spacing w:before="120" w:after="120"/>
              <w:rPr>
                <w:rFonts w:ascii="Arial" w:hAnsi="Arial" w:cs="Arial"/>
                <w:sz w:val="20"/>
                <w:lang w:eastAsia="en-GB"/>
              </w:rPr>
            </w:pPr>
            <w:r w:rsidRPr="00092B1F">
              <w:rPr>
                <w:rFonts w:ascii="Arial" w:hAnsi="Arial" w:cs="Arial"/>
                <w:sz w:val="20"/>
                <w:lang w:eastAsia="en-GB"/>
              </w:rPr>
              <w:t>senior consultant (</w:t>
            </w:r>
            <w:r w:rsidRPr="00092B1F">
              <w:rPr>
                <w:rFonts w:ascii="Arial" w:hAnsi="Arial" w:cs="Arial"/>
                <w:sz w:val="20"/>
                <w:vertAlign w:val="subscript"/>
                <w:lang w:eastAsia="en-GB"/>
              </w:rPr>
              <w:t>SC</w:t>
            </w:r>
            <w:r w:rsidRPr="00092B1F">
              <w:rPr>
                <w:rFonts w:ascii="Arial" w:hAnsi="Arial" w:cs="Arial"/>
                <w:sz w:val="20"/>
                <w:lang w:eastAsia="en-GB"/>
              </w:rPr>
              <w:t>)</w:t>
            </w:r>
          </w:p>
        </w:tc>
        <w:tc>
          <w:tcPr>
            <w:tcW w:w="34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4A4D" w:rsidRPr="00092B1F" w:rsidRDefault="00454A4D" w:rsidP="00454A4D">
            <w:pPr>
              <w:spacing w:before="120" w:after="120"/>
              <w:rPr>
                <w:rFonts w:ascii="Arial" w:hAnsi="Arial" w:cs="Arial"/>
                <w:sz w:val="20"/>
                <w:shd w:val="clear" w:color="auto" w:fill="FFFF00"/>
                <w:lang w:eastAsia="en-GB"/>
              </w:rPr>
            </w:pPr>
            <w:r w:rsidRPr="00092B1F">
              <w:rPr>
                <w:rFonts w:ascii="Arial" w:hAnsi="Arial" w:cs="Arial"/>
                <w:sz w:val="20"/>
                <w:lang w:eastAsia="en-GB"/>
              </w:rPr>
              <w:t>See section 12.2.3 (</w:t>
            </w:r>
            <w:r w:rsidRPr="00092B1F">
              <w:rPr>
                <w:rStyle w:val="BodyChar"/>
                <w:rFonts w:cs="Arial"/>
                <w:sz w:val="20"/>
              </w:rPr>
              <w:t xml:space="preserve">Technical and professional capacity) and section 7 (expertise) </w:t>
            </w:r>
            <w:r>
              <w:rPr>
                <w:rStyle w:val="BodyChar"/>
                <w:rFonts w:cs="Arial"/>
                <w:sz w:val="20"/>
              </w:rPr>
              <w:t xml:space="preserve">of the tender specifications </w:t>
            </w:r>
            <w:r w:rsidRPr="00092B1F">
              <w:rPr>
                <w:rStyle w:val="BodyChar"/>
                <w:rFonts w:cs="Arial"/>
                <w:sz w:val="20"/>
              </w:rPr>
              <w:t>for requirements for each role</w:t>
            </w:r>
          </w:p>
        </w:tc>
        <w:tc>
          <w:tcPr>
            <w:tcW w:w="2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092B1F" w:rsidRDefault="00454A4D" w:rsidP="00454A4D">
            <w:pPr>
              <w:spacing w:before="120" w:after="12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54A4D" w:rsidRPr="0016315D" w:rsidTr="0074284A">
        <w:tc>
          <w:tcPr>
            <w:tcW w:w="28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454A4D" w:rsidRDefault="00454A4D" w:rsidP="00454A4D">
            <w:pPr>
              <w:spacing w:before="120" w:after="120"/>
              <w:rPr>
                <w:rFonts w:ascii="Arial" w:hAnsi="Arial" w:cs="Arial"/>
                <w:sz w:val="20"/>
                <w:vertAlign w:val="subscript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Local expert consultant </w:t>
            </w:r>
            <w:r w:rsidRPr="00AD37E8">
              <w:rPr>
                <w:rFonts w:ascii="Arial" w:hAnsi="Arial" w:cs="Arial"/>
                <w:sz w:val="20"/>
                <w:vertAlign w:val="subscript"/>
                <w:lang w:eastAsia="en-GB"/>
              </w:rPr>
              <w:t>(LEC)</w:t>
            </w:r>
          </w:p>
        </w:tc>
        <w:tc>
          <w:tcPr>
            <w:tcW w:w="34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  <w:shd w:val="clear" w:color="auto" w:fill="FFFF00"/>
                <w:lang w:eastAsia="en-GB"/>
              </w:rPr>
            </w:pPr>
          </w:p>
        </w:tc>
        <w:tc>
          <w:tcPr>
            <w:tcW w:w="2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54A4D" w:rsidRPr="0016315D" w:rsidTr="0074284A">
        <w:tc>
          <w:tcPr>
            <w:tcW w:w="28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6315D">
              <w:rPr>
                <w:rFonts w:ascii="Arial" w:hAnsi="Arial" w:cs="Arial"/>
                <w:sz w:val="20"/>
                <w:lang w:eastAsia="en-GB"/>
              </w:rPr>
              <w:t>Junior consultant (</w:t>
            </w:r>
            <w:r w:rsidRPr="0016315D">
              <w:rPr>
                <w:rFonts w:ascii="Arial" w:hAnsi="Arial" w:cs="Arial"/>
                <w:sz w:val="20"/>
                <w:vertAlign w:val="subscript"/>
                <w:lang w:eastAsia="en-GB"/>
              </w:rPr>
              <w:t>JC</w:t>
            </w:r>
            <w:r w:rsidRPr="0016315D">
              <w:rPr>
                <w:rFonts w:ascii="Arial" w:hAnsi="Arial" w:cs="Arial"/>
                <w:sz w:val="20"/>
                <w:lang w:eastAsia="en-GB"/>
              </w:rPr>
              <w:t>)</w:t>
            </w:r>
          </w:p>
        </w:tc>
        <w:tc>
          <w:tcPr>
            <w:tcW w:w="34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  <w:shd w:val="clear" w:color="auto" w:fill="FFFF00"/>
                <w:lang w:eastAsia="en-GB"/>
              </w:rPr>
            </w:pPr>
          </w:p>
        </w:tc>
        <w:tc>
          <w:tcPr>
            <w:tcW w:w="2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54A4D" w:rsidRPr="0016315D" w:rsidTr="0074284A">
        <w:tc>
          <w:tcPr>
            <w:tcW w:w="28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6315D">
              <w:rPr>
                <w:rFonts w:ascii="Arial" w:hAnsi="Arial" w:cs="Arial"/>
                <w:sz w:val="20"/>
                <w:lang w:eastAsia="en-GB"/>
              </w:rPr>
              <w:t>Assistant</w:t>
            </w:r>
            <w:r>
              <w:rPr>
                <w:rFonts w:ascii="Arial" w:hAnsi="Arial" w:cs="Arial"/>
                <w:sz w:val="20"/>
                <w:lang w:eastAsia="en-GB"/>
              </w:rPr>
              <w:t>/secretary</w:t>
            </w:r>
            <w:r w:rsidRPr="0016315D">
              <w:rPr>
                <w:rFonts w:ascii="Arial" w:hAnsi="Arial" w:cs="Arial"/>
                <w:sz w:val="20"/>
                <w:lang w:eastAsia="en-GB"/>
              </w:rPr>
              <w:t xml:space="preserve"> (</w:t>
            </w:r>
            <w:r w:rsidRPr="0016315D">
              <w:rPr>
                <w:rFonts w:ascii="Arial" w:hAnsi="Arial" w:cs="Arial"/>
                <w:sz w:val="20"/>
                <w:vertAlign w:val="subscript"/>
                <w:lang w:eastAsia="en-GB"/>
              </w:rPr>
              <w:t>A</w:t>
            </w:r>
            <w:r w:rsidRPr="0016315D">
              <w:rPr>
                <w:rFonts w:ascii="Arial" w:hAnsi="Arial" w:cs="Arial"/>
                <w:sz w:val="20"/>
                <w:lang w:eastAsia="en-GB"/>
              </w:rPr>
              <w:t>)</w:t>
            </w:r>
          </w:p>
        </w:tc>
        <w:tc>
          <w:tcPr>
            <w:tcW w:w="34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  <w:shd w:val="clear" w:color="auto" w:fill="FFFF00"/>
                <w:lang w:eastAsia="en-GB"/>
              </w:rPr>
            </w:pPr>
          </w:p>
        </w:tc>
        <w:tc>
          <w:tcPr>
            <w:tcW w:w="2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16315D" w:rsidRDefault="00454A4D" w:rsidP="00454A4D">
            <w:pPr>
              <w:spacing w:before="120" w:after="12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54A4D" w:rsidRPr="0016315D" w:rsidTr="0074284A">
        <w:trPr>
          <w:cantSplit/>
        </w:trPr>
        <w:tc>
          <w:tcPr>
            <w:tcW w:w="63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454A4D" w:rsidRDefault="00454A4D" w:rsidP="0074284A">
            <w:pPr>
              <w:rPr>
                <w:rFonts w:ascii="Arial" w:hAnsi="Arial" w:cs="Arial"/>
                <w:sz w:val="20"/>
                <w:lang w:val="fr-FR" w:eastAsia="en-GB"/>
              </w:rPr>
            </w:pPr>
          </w:p>
          <w:p w:rsidR="00454A4D" w:rsidRPr="00454A4D" w:rsidRDefault="00454A4D" w:rsidP="0074284A">
            <w:pPr>
              <w:rPr>
                <w:rFonts w:ascii="Arial" w:hAnsi="Arial" w:cs="Arial"/>
                <w:sz w:val="20"/>
                <w:lang w:val="fr-FR" w:eastAsia="en-GB"/>
              </w:rPr>
            </w:pPr>
            <w:r w:rsidRPr="00454A4D">
              <w:rPr>
                <w:rFonts w:ascii="Arial" w:hAnsi="Arial" w:cs="Arial"/>
                <w:sz w:val="20"/>
                <w:lang w:val="fr-FR" w:eastAsia="en-GB"/>
              </w:rPr>
              <w:t>TOTAL (</w:t>
            </w:r>
            <w:proofErr w:type="spellStart"/>
            <w:r w:rsidRPr="00454A4D">
              <w:rPr>
                <w:rFonts w:ascii="Arial" w:hAnsi="Arial" w:cs="Arial"/>
                <w:sz w:val="20"/>
                <w:lang w:val="fr-FR" w:eastAsia="en-GB"/>
              </w:rPr>
              <w:t>average</w:t>
            </w:r>
            <w:proofErr w:type="spellEnd"/>
            <w:r w:rsidRPr="00454A4D">
              <w:rPr>
                <w:rFonts w:ascii="Arial" w:hAnsi="Arial" w:cs="Arial"/>
                <w:sz w:val="20"/>
                <w:lang w:val="fr-FR" w:eastAsia="en-GB"/>
              </w:rPr>
              <w:t>)  P</w:t>
            </w:r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>AVG =</w:t>
            </w:r>
            <w:r w:rsidRPr="00454A4D">
              <w:rPr>
                <w:rFonts w:ascii="Arial" w:hAnsi="Arial" w:cs="Arial"/>
                <w:sz w:val="20"/>
                <w:lang w:val="fr-FR" w:eastAsia="en-GB"/>
              </w:rPr>
              <w:t xml:space="preserve"> (P</w:t>
            </w:r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>PL</w:t>
            </w:r>
            <w:proofErr w:type="gramStart"/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>,SC</w:t>
            </w:r>
            <w:proofErr w:type="gramEnd"/>
            <w:r w:rsidRPr="00454A4D">
              <w:rPr>
                <w:rFonts w:ascii="Arial" w:hAnsi="Arial" w:cs="Arial"/>
                <w:sz w:val="20"/>
                <w:lang w:val="fr-FR" w:eastAsia="en-GB"/>
              </w:rPr>
              <w:t xml:space="preserve"> + P</w:t>
            </w:r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>LEC</w:t>
            </w:r>
            <w:r w:rsidRPr="00454A4D">
              <w:rPr>
                <w:rFonts w:ascii="Arial" w:hAnsi="Arial" w:cs="Arial"/>
                <w:sz w:val="20"/>
                <w:lang w:val="fr-FR" w:eastAsia="en-GB"/>
              </w:rPr>
              <w:t xml:space="preserve"> + P</w:t>
            </w:r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>JC</w:t>
            </w:r>
            <w:r w:rsidRPr="00454A4D">
              <w:rPr>
                <w:rFonts w:ascii="Arial" w:hAnsi="Arial" w:cs="Arial"/>
                <w:sz w:val="20"/>
                <w:lang w:val="fr-FR" w:eastAsia="en-GB"/>
              </w:rPr>
              <w:t xml:space="preserve"> + P</w:t>
            </w:r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>A</w:t>
            </w:r>
            <w:r w:rsidRPr="00454A4D">
              <w:rPr>
                <w:rStyle w:val="BodyChar"/>
                <w:rFonts w:cs="Arial"/>
                <w:sz w:val="20"/>
                <w:lang w:val="fr-FR"/>
              </w:rPr>
              <w:t>)</w:t>
            </w:r>
            <w:r w:rsidRPr="00454A4D">
              <w:rPr>
                <w:rFonts w:ascii="Arial" w:hAnsi="Arial" w:cs="Arial"/>
                <w:sz w:val="20"/>
                <w:vertAlign w:val="subscript"/>
                <w:lang w:val="fr-FR" w:eastAsia="en-GB"/>
              </w:rPr>
              <w:t xml:space="preserve"> </w:t>
            </w:r>
            <w:r w:rsidRPr="00454A4D">
              <w:rPr>
                <w:rFonts w:ascii="Arial" w:hAnsi="Arial" w:cs="Arial"/>
                <w:sz w:val="20"/>
                <w:lang w:val="fr-FR" w:eastAsia="en-GB"/>
              </w:rPr>
              <w:t>/4</w:t>
            </w:r>
          </w:p>
          <w:p w:rsidR="00454A4D" w:rsidRPr="00454A4D" w:rsidRDefault="00454A4D" w:rsidP="0074284A">
            <w:pPr>
              <w:rPr>
                <w:rFonts w:ascii="Arial" w:hAnsi="Arial" w:cs="Arial"/>
                <w:sz w:val="20"/>
                <w:lang w:val="fr-FR" w:eastAsia="en-GB"/>
              </w:rPr>
            </w:pPr>
          </w:p>
        </w:tc>
        <w:tc>
          <w:tcPr>
            <w:tcW w:w="2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4D" w:rsidRPr="00454A4D" w:rsidRDefault="00454A4D" w:rsidP="0074284A">
            <w:pPr>
              <w:rPr>
                <w:rFonts w:ascii="Arial" w:hAnsi="Arial" w:cs="Arial"/>
                <w:sz w:val="20"/>
                <w:lang w:val="fr-FR" w:eastAsia="en-GB"/>
              </w:rPr>
            </w:pPr>
          </w:p>
          <w:p w:rsidR="00454A4D" w:rsidRPr="0016315D" w:rsidRDefault="00454A4D" w:rsidP="0074284A">
            <w:pPr>
              <w:rPr>
                <w:rFonts w:ascii="Arial" w:hAnsi="Arial" w:cs="Arial"/>
                <w:sz w:val="20"/>
                <w:lang w:eastAsia="en-GB"/>
              </w:rPr>
            </w:pPr>
            <w:r w:rsidRPr="00454A4D">
              <w:rPr>
                <w:rFonts w:ascii="Arial" w:hAnsi="Arial" w:cs="Arial"/>
                <w:sz w:val="20"/>
                <w:lang w:val="fr-FR" w:eastAsia="en-GB"/>
              </w:rPr>
              <w:t xml:space="preserve">                      </w:t>
            </w:r>
            <w:r w:rsidRPr="0016315D">
              <w:rPr>
                <w:rFonts w:ascii="Arial" w:hAnsi="Arial" w:cs="Arial"/>
                <w:sz w:val="20"/>
                <w:lang w:eastAsia="en-GB"/>
              </w:rPr>
              <w:t>(EUR)</w:t>
            </w:r>
          </w:p>
        </w:tc>
      </w:tr>
    </w:tbl>
    <w:p w:rsidR="00454A4D" w:rsidRDefault="00454A4D" w:rsidP="00454A4D">
      <w:pPr>
        <w:rPr>
          <w:rFonts w:ascii="NewBskvll BT" w:hAnsi="NewBskvll BT"/>
          <w:b/>
        </w:rPr>
      </w:pPr>
    </w:p>
    <w:p w:rsidR="00454A4D" w:rsidRPr="00FE6CF3" w:rsidRDefault="00454A4D" w:rsidP="00454A4D">
      <w:pPr>
        <w:spacing w:before="120" w:after="120"/>
        <w:ind w:left="568"/>
        <w:rPr>
          <w:rFonts w:ascii="Arial" w:hAnsi="Arial" w:cs="Arial"/>
          <w:b/>
          <w:sz w:val="20"/>
          <w:szCs w:val="20"/>
        </w:rPr>
      </w:pPr>
    </w:p>
    <w:p w:rsidR="00454A4D" w:rsidRPr="000B04B9" w:rsidRDefault="00454A4D" w:rsidP="00454A4D">
      <w:pPr>
        <w:spacing w:before="120" w:after="120"/>
        <w:ind w:left="567"/>
        <w:rPr>
          <w:rStyle w:val="BodyChar"/>
          <w:rFonts w:cs="Arial"/>
          <w:sz w:val="20"/>
          <w:szCs w:val="20"/>
        </w:rPr>
      </w:pPr>
      <w:r w:rsidRPr="000B04B9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All fields are compulsory, non-compliance will lead to exclusion</w:t>
      </w:r>
      <w:r w:rsidRPr="000B04B9">
        <w:rPr>
          <w:rFonts w:ascii="Arial" w:hAnsi="Arial" w:cs="Arial"/>
          <w:bCs/>
          <w:iCs/>
          <w:sz w:val="20"/>
          <w:szCs w:val="20"/>
          <w:lang w:eastAsia="en-GB"/>
        </w:rPr>
        <w:t>.</w:t>
      </w:r>
    </w:p>
    <w:p w:rsidR="00454A4D" w:rsidRPr="004E1BA2" w:rsidRDefault="00454A4D" w:rsidP="00454A4D">
      <w:pPr>
        <w:ind w:left="567"/>
        <w:rPr>
          <w:rFonts w:ascii="NewBskvll BT" w:hAnsi="NewBskvll BT"/>
          <w:b/>
        </w:rPr>
      </w:pPr>
    </w:p>
    <w:p w:rsidR="00454A4D" w:rsidRDefault="00454A4D" w:rsidP="00454A4D">
      <w:pPr>
        <w:ind w:left="567"/>
      </w:pPr>
    </w:p>
    <w:p w:rsidR="00454A4D" w:rsidRDefault="00454A4D" w:rsidP="00454A4D"/>
    <w:p w:rsidR="00454A4D" w:rsidRDefault="00454A4D" w:rsidP="00454A4D"/>
    <w:p w:rsidR="00454A4D" w:rsidRDefault="00454A4D" w:rsidP="00454A4D"/>
    <w:p w:rsidR="00D97C2A" w:rsidRDefault="00D97C2A"/>
    <w:sectPr w:rsidR="00D97C2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4D" w:rsidRDefault="00454A4D" w:rsidP="00454A4D">
      <w:r>
        <w:separator/>
      </w:r>
    </w:p>
  </w:endnote>
  <w:endnote w:type="continuationSeparator" w:id="0">
    <w:p w:rsidR="00454A4D" w:rsidRDefault="00454A4D" w:rsidP="0045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4D" w:rsidRDefault="00454A4D" w:rsidP="00454A4D">
      <w:r>
        <w:separator/>
      </w:r>
    </w:p>
  </w:footnote>
  <w:footnote w:type="continuationSeparator" w:id="0">
    <w:p w:rsidR="00454A4D" w:rsidRDefault="00454A4D" w:rsidP="00454A4D">
      <w:r>
        <w:continuationSeparator/>
      </w:r>
    </w:p>
  </w:footnote>
  <w:footnote w:id="1">
    <w:p w:rsidR="00454A4D" w:rsidRPr="0074284A" w:rsidRDefault="00454A4D" w:rsidP="00454A4D">
      <w:pPr>
        <w:pStyle w:val="FootnoteText"/>
        <w:ind w:left="142" w:hanging="142"/>
        <w:jc w:val="both"/>
        <w:rPr>
          <w:rFonts w:ascii="Arial" w:hAnsi="Arial" w:cs="Arial"/>
        </w:rPr>
      </w:pPr>
      <w:r w:rsidRPr="00454A4D">
        <w:rPr>
          <w:rStyle w:val="FootnoteReference"/>
          <w:rFonts w:ascii="Arial" w:hAnsi="Arial" w:cs="Arial"/>
        </w:rPr>
        <w:footnoteRef/>
      </w:r>
      <w:r w:rsidRPr="0074284A">
        <w:rPr>
          <w:rFonts w:ascii="Arial" w:hAnsi="Arial" w:cs="Arial"/>
        </w:rPr>
        <w:t xml:space="preserve"> </w:t>
      </w:r>
      <w:r w:rsidRPr="0074284A">
        <w:rPr>
          <w:rFonts w:ascii="Arial" w:hAnsi="Arial" w:cs="Arial"/>
          <w:sz w:val="16"/>
          <w:szCs w:val="16"/>
        </w:rPr>
        <w:t>It is expected that overall, each profile will contribute with an equal amount of person days in the provision of services</w:t>
      </w:r>
      <w:r w:rsidRPr="0074284A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Ind w:w="-535" w:type="dxa"/>
      <w:tblLook w:val="01E0" w:firstRow="1" w:lastRow="1" w:firstColumn="1" w:lastColumn="1" w:noHBand="0" w:noVBand="0"/>
    </w:tblPr>
    <w:tblGrid>
      <w:gridCol w:w="4896"/>
      <w:gridCol w:w="4959"/>
    </w:tblGrid>
    <w:tr w:rsidR="000A0582" w:rsidTr="000E435E">
      <w:tc>
        <w:tcPr>
          <w:tcW w:w="4896" w:type="dxa"/>
          <w:shd w:val="clear" w:color="auto" w:fill="auto"/>
        </w:tcPr>
        <w:p w:rsidR="000A0582" w:rsidRPr="00AB014F" w:rsidRDefault="00454A4D" w:rsidP="00454A4D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Open call</w:t>
          </w:r>
          <w:r w:rsidRPr="00AB014F">
            <w:rPr>
              <w:rFonts w:ascii="Arial" w:hAnsi="Arial" w:cs="Arial"/>
              <w:b/>
              <w:sz w:val="20"/>
              <w:szCs w:val="20"/>
            </w:rPr>
            <w:t xml:space="preserve"> No. EEA/</w:t>
          </w:r>
          <w:r>
            <w:rPr>
              <w:rFonts w:ascii="Arial" w:hAnsi="Arial" w:cs="Arial"/>
              <w:b/>
              <w:sz w:val="20"/>
              <w:szCs w:val="20"/>
            </w:rPr>
            <w:t>SES</w:t>
          </w:r>
          <w:r w:rsidRPr="00AB014F">
            <w:rPr>
              <w:rFonts w:ascii="Arial" w:hAnsi="Arial" w:cs="Arial"/>
              <w:b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AB014F">
            <w:rPr>
              <w:rFonts w:ascii="Arial" w:hAnsi="Arial" w:cs="Arial"/>
              <w:b/>
              <w:sz w:val="20"/>
              <w:szCs w:val="20"/>
            </w:rPr>
            <w:t>/00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4959" w:type="dxa"/>
          <w:shd w:val="clear" w:color="auto" w:fill="auto"/>
        </w:tcPr>
        <w:p w:rsidR="000A0582" w:rsidRDefault="00454A4D" w:rsidP="00141AB7">
          <w:pPr>
            <w:pStyle w:val="Header"/>
          </w:pPr>
          <w:r w:rsidRPr="00AB014F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582" w:rsidRDefault="00E34FEB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4D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A4D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4FEB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A4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54A4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4A4D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54A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4A4D"/>
    <w:rPr>
      <w:sz w:val="24"/>
      <w:szCs w:val="24"/>
      <w:lang w:eastAsia="en-US"/>
    </w:rPr>
  </w:style>
  <w:style w:type="paragraph" w:customStyle="1" w:styleId="Body">
    <w:name w:val="Body"/>
    <w:link w:val="BodyChar"/>
    <w:rsid w:val="00454A4D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54A4D"/>
    <w:rPr>
      <w:rFonts w:ascii="Arial" w:hAnsi="Arial"/>
      <w:sz w:val="22"/>
      <w:lang w:eastAsia="en-US"/>
    </w:rPr>
  </w:style>
  <w:style w:type="paragraph" w:styleId="FootnoteText">
    <w:name w:val="footnote text"/>
    <w:basedOn w:val="Normal"/>
    <w:link w:val="FootnoteTextChar"/>
    <w:rsid w:val="00454A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4A4D"/>
    <w:rPr>
      <w:lang w:eastAsia="en-US"/>
    </w:rPr>
  </w:style>
  <w:style w:type="character" w:styleId="FootnoteReference">
    <w:name w:val="footnote reference"/>
    <w:aliases w:val="Footnote Reference2"/>
    <w:rsid w:val="00454A4D"/>
    <w:rPr>
      <w:vertAlign w:val="superscript"/>
    </w:rPr>
  </w:style>
  <w:style w:type="paragraph" w:styleId="BalloonText">
    <w:name w:val="Balloon Text"/>
    <w:basedOn w:val="Normal"/>
    <w:link w:val="BalloonTextChar"/>
    <w:rsid w:val="0045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A4D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54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4A4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A4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54A4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4A4D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54A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4A4D"/>
    <w:rPr>
      <w:sz w:val="24"/>
      <w:szCs w:val="24"/>
      <w:lang w:eastAsia="en-US"/>
    </w:rPr>
  </w:style>
  <w:style w:type="paragraph" w:customStyle="1" w:styleId="Body">
    <w:name w:val="Body"/>
    <w:link w:val="BodyChar"/>
    <w:rsid w:val="00454A4D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54A4D"/>
    <w:rPr>
      <w:rFonts w:ascii="Arial" w:hAnsi="Arial"/>
      <w:sz w:val="22"/>
      <w:lang w:eastAsia="en-US"/>
    </w:rPr>
  </w:style>
  <w:style w:type="paragraph" w:styleId="FootnoteText">
    <w:name w:val="footnote text"/>
    <w:basedOn w:val="Normal"/>
    <w:link w:val="FootnoteTextChar"/>
    <w:rsid w:val="00454A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4A4D"/>
    <w:rPr>
      <w:lang w:eastAsia="en-US"/>
    </w:rPr>
  </w:style>
  <w:style w:type="character" w:styleId="FootnoteReference">
    <w:name w:val="footnote reference"/>
    <w:aliases w:val="Footnote Reference2"/>
    <w:rsid w:val="00454A4D"/>
    <w:rPr>
      <w:vertAlign w:val="superscript"/>
    </w:rPr>
  </w:style>
  <w:style w:type="paragraph" w:styleId="BalloonText">
    <w:name w:val="Balloon Text"/>
    <w:basedOn w:val="Normal"/>
    <w:link w:val="BalloonTextChar"/>
    <w:rsid w:val="0045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A4D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54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4A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2</cp:revision>
  <dcterms:created xsi:type="dcterms:W3CDTF">2012-04-30T08:22:00Z</dcterms:created>
  <dcterms:modified xsi:type="dcterms:W3CDTF">2012-04-30T08:22:00Z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985686376</vt:i4>
  </property>
  <property fmtid="{D5CDD505-2E9C-101B-9397-08002B2CF9AE}" pid="3" name="_NewReviewCycle">
    <vt:lpwstr/>
  </property>
  <property fmtid="{D5CDD505-2E9C-101B-9397-08002B2CF9AE}" pid="4" name="_EmailSubject">
    <vt:lpwstr>New open call for tenders No EEA/SES/12/001 - Support to implementation of the SEIS in Eionet and European neighbouring countries - 3 lots - Tender documents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