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7FA" w:rsidRDefault="002C47FA" w:rsidP="002C47FA">
      <w:pPr>
        <w:pStyle w:val="Heading2"/>
        <w:ind w:right="-694"/>
        <w:rPr>
          <w:rFonts w:ascii="Arial" w:hAnsi="Arial" w:cs="Arial"/>
        </w:rPr>
      </w:pPr>
      <w:r w:rsidRPr="009D3D18">
        <w:rPr>
          <w:rFonts w:ascii="Arial" w:hAnsi="Arial" w:cs="Arial"/>
        </w:rPr>
        <w:t>A</w:t>
      </w:r>
      <w:r>
        <w:rPr>
          <w:rFonts w:ascii="Arial" w:hAnsi="Arial" w:cs="Arial"/>
        </w:rPr>
        <w:t>NNEX</w:t>
      </w:r>
      <w:r w:rsidRPr="009D3D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</w:t>
      </w:r>
      <w:r w:rsidRPr="009D3D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the Tender Specifications</w:t>
      </w:r>
    </w:p>
    <w:p w:rsidR="002C47FA" w:rsidRPr="009D3D18" w:rsidRDefault="002C47FA" w:rsidP="002C47FA">
      <w:pPr>
        <w:pStyle w:val="Heading2"/>
        <w:ind w:right="-694"/>
        <w:rPr>
          <w:rFonts w:ascii="Arial" w:hAnsi="Arial" w:cs="Arial"/>
        </w:rPr>
      </w:pPr>
      <w:r>
        <w:rPr>
          <w:rFonts w:ascii="Arial" w:hAnsi="Arial" w:cs="Arial"/>
        </w:rPr>
        <w:t>PRICE QUOTATION</w:t>
      </w:r>
    </w:p>
    <w:p w:rsidR="002C47FA" w:rsidRPr="00FE6CF3" w:rsidRDefault="002C47FA" w:rsidP="00D96342">
      <w:pPr>
        <w:numPr>
          <w:ilvl w:val="0"/>
          <w:numId w:val="1"/>
        </w:numPr>
        <w:spacing w:before="120"/>
        <w:ind w:left="568" w:hanging="284"/>
        <w:rPr>
          <w:rFonts w:ascii="Arial" w:hAnsi="Arial" w:cs="Arial"/>
          <w:b/>
          <w:sz w:val="20"/>
          <w:szCs w:val="20"/>
        </w:rPr>
      </w:pPr>
      <w:bookmarkStart w:id="0" w:name="_GoBack"/>
      <w:r w:rsidRPr="00FE6CF3">
        <w:rPr>
          <w:rFonts w:ascii="Arial" w:hAnsi="Arial" w:cs="Arial"/>
          <w:b/>
          <w:sz w:val="20"/>
          <w:szCs w:val="20"/>
        </w:rPr>
        <w:t>Price</w:t>
      </w:r>
      <w:r>
        <w:rPr>
          <w:rFonts w:ascii="Arial" w:hAnsi="Arial" w:cs="Arial"/>
          <w:b/>
          <w:sz w:val="20"/>
          <w:szCs w:val="20"/>
        </w:rPr>
        <w:t>s</w:t>
      </w:r>
      <w:r w:rsidRPr="00FE6CF3">
        <w:rPr>
          <w:rFonts w:ascii="Arial" w:hAnsi="Arial" w:cs="Arial"/>
          <w:b/>
          <w:sz w:val="20"/>
          <w:szCs w:val="20"/>
        </w:rPr>
        <w:t xml:space="preserve"> must be quoted in EUR</w:t>
      </w:r>
      <w:r>
        <w:rPr>
          <w:rFonts w:ascii="Arial" w:hAnsi="Arial" w:cs="Arial"/>
          <w:b/>
          <w:sz w:val="20"/>
          <w:szCs w:val="20"/>
        </w:rPr>
        <w:t xml:space="preserve"> and </w:t>
      </w:r>
      <w:r w:rsidRPr="001E7FB4">
        <w:rPr>
          <w:rFonts w:ascii="Arial" w:hAnsi="Arial" w:cs="Arial"/>
          <w:b/>
          <w:sz w:val="20"/>
          <w:szCs w:val="20"/>
          <w:u w:val="single"/>
        </w:rPr>
        <w:t>excl</w:t>
      </w:r>
      <w:r>
        <w:rPr>
          <w:rFonts w:ascii="Arial" w:hAnsi="Arial" w:cs="Arial"/>
          <w:b/>
          <w:sz w:val="20"/>
          <w:szCs w:val="20"/>
          <w:u w:val="single"/>
        </w:rPr>
        <w:t>uding</w:t>
      </w:r>
      <w:r>
        <w:rPr>
          <w:rFonts w:ascii="Arial" w:hAnsi="Arial" w:cs="Arial"/>
          <w:b/>
          <w:sz w:val="20"/>
          <w:szCs w:val="20"/>
        </w:rPr>
        <w:t xml:space="preserve"> VAT</w:t>
      </w:r>
      <w:r w:rsidRPr="00FE6CF3">
        <w:rPr>
          <w:rFonts w:ascii="Arial" w:hAnsi="Arial" w:cs="Arial"/>
          <w:b/>
          <w:sz w:val="20"/>
          <w:szCs w:val="20"/>
        </w:rPr>
        <w:t xml:space="preserve"> </w:t>
      </w:r>
    </w:p>
    <w:bookmarkEnd w:id="0"/>
    <w:p w:rsidR="002C47FA" w:rsidRPr="00FE6CF3" w:rsidRDefault="002C47FA" w:rsidP="00D96342">
      <w:pPr>
        <w:numPr>
          <w:ilvl w:val="0"/>
          <w:numId w:val="1"/>
        </w:numPr>
        <w:spacing w:before="120"/>
        <w:ind w:left="568" w:hanging="284"/>
        <w:rPr>
          <w:rFonts w:ascii="Arial" w:hAnsi="Arial" w:cs="Arial"/>
          <w:b/>
          <w:sz w:val="20"/>
          <w:szCs w:val="20"/>
        </w:rPr>
      </w:pPr>
      <w:r w:rsidRPr="00FE6CF3">
        <w:rPr>
          <w:rFonts w:ascii="Arial" w:hAnsi="Arial" w:cs="Arial"/>
          <w:b/>
          <w:sz w:val="20"/>
          <w:szCs w:val="20"/>
        </w:rPr>
        <w:t>Price</w:t>
      </w:r>
      <w:r>
        <w:rPr>
          <w:rFonts w:ascii="Arial" w:hAnsi="Arial" w:cs="Arial"/>
          <w:b/>
          <w:sz w:val="20"/>
          <w:szCs w:val="20"/>
        </w:rPr>
        <w:t>s</w:t>
      </w:r>
      <w:r w:rsidRPr="00FE6CF3">
        <w:rPr>
          <w:rFonts w:ascii="Arial" w:hAnsi="Arial" w:cs="Arial"/>
          <w:b/>
          <w:sz w:val="20"/>
          <w:szCs w:val="20"/>
        </w:rPr>
        <w:t xml:space="preserve"> shall be </w:t>
      </w:r>
      <w:r w:rsidRPr="00FE6CF3">
        <w:rPr>
          <w:rFonts w:ascii="Arial" w:hAnsi="Arial" w:cs="Arial"/>
          <w:b/>
          <w:sz w:val="20"/>
          <w:szCs w:val="20"/>
          <w:u w:val="single"/>
        </w:rPr>
        <w:t>all-inclusive</w:t>
      </w:r>
      <w:r w:rsidRPr="00FE6CF3">
        <w:rPr>
          <w:rFonts w:ascii="Arial" w:hAnsi="Arial" w:cs="Arial"/>
          <w:b/>
          <w:sz w:val="20"/>
          <w:szCs w:val="20"/>
        </w:rPr>
        <w:t xml:space="preserve"> (i.e. include all relevant costs and all expenditure (e.g. management and administrative costs, </w:t>
      </w:r>
      <w:r>
        <w:rPr>
          <w:rFonts w:ascii="Arial" w:hAnsi="Arial" w:cs="Arial"/>
          <w:b/>
          <w:sz w:val="20"/>
          <w:szCs w:val="20"/>
        </w:rPr>
        <w:t xml:space="preserve">travel costs, </w:t>
      </w:r>
      <w:r w:rsidRPr="00FE6CF3">
        <w:rPr>
          <w:rFonts w:ascii="Arial" w:hAnsi="Arial" w:cs="Arial"/>
          <w:b/>
          <w:sz w:val="20"/>
          <w:szCs w:val="20"/>
        </w:rPr>
        <w:t>etc</w:t>
      </w:r>
      <w:r>
        <w:rPr>
          <w:rFonts w:ascii="Arial" w:hAnsi="Arial" w:cs="Arial"/>
          <w:b/>
          <w:sz w:val="20"/>
          <w:szCs w:val="20"/>
        </w:rPr>
        <w:t>..</w:t>
      </w:r>
      <w:r w:rsidRPr="00FE6CF3">
        <w:rPr>
          <w:rFonts w:ascii="Arial" w:hAnsi="Arial" w:cs="Arial"/>
          <w:b/>
          <w:sz w:val="20"/>
          <w:szCs w:val="20"/>
        </w:rPr>
        <w:t>.)</w:t>
      </w:r>
      <w:r>
        <w:rPr>
          <w:rFonts w:ascii="Arial" w:hAnsi="Arial" w:cs="Arial"/>
          <w:b/>
          <w:sz w:val="20"/>
          <w:szCs w:val="20"/>
        </w:rPr>
        <w:t>)</w:t>
      </w:r>
    </w:p>
    <w:p w:rsidR="002C47FA" w:rsidRDefault="002C47FA" w:rsidP="00D96342">
      <w:pPr>
        <w:numPr>
          <w:ilvl w:val="0"/>
          <w:numId w:val="1"/>
        </w:numPr>
        <w:spacing w:before="120"/>
        <w:ind w:left="568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Prices must be quoted per lot (for each lot where an offer is submitted)</w:t>
      </w:r>
    </w:p>
    <w:p w:rsidR="00A119B9" w:rsidRPr="00A119B9" w:rsidRDefault="00A119B9" w:rsidP="00D96342">
      <w:pPr>
        <w:rPr>
          <w:rFonts w:ascii="Arial" w:hAnsi="Arial" w:cs="Arial"/>
          <w:b/>
          <w:sz w:val="20"/>
          <w:szCs w:val="20"/>
        </w:rPr>
      </w:pPr>
      <w:r w:rsidRPr="00A119B9">
        <w:rPr>
          <w:rFonts w:ascii="Arial" w:hAnsi="Arial" w:cs="Arial"/>
          <w:b/>
          <w:sz w:val="20"/>
          <w:szCs w:val="20"/>
        </w:rPr>
        <w:t xml:space="preserve">Lot 2: Imperviousness and forest in Central Europe, </w:t>
      </w:r>
      <w:proofErr w:type="spellStart"/>
      <w:r w:rsidRPr="00A119B9">
        <w:rPr>
          <w:rFonts w:ascii="Arial" w:hAnsi="Arial" w:cs="Arial"/>
          <w:b/>
          <w:sz w:val="20"/>
          <w:szCs w:val="20"/>
        </w:rPr>
        <w:t>partim</w:t>
      </w:r>
      <w:proofErr w:type="spellEnd"/>
      <w:r w:rsidRPr="00A119B9">
        <w:rPr>
          <w:rFonts w:ascii="Arial" w:hAnsi="Arial" w:cs="Arial"/>
          <w:b/>
          <w:sz w:val="20"/>
          <w:szCs w:val="20"/>
        </w:rPr>
        <w:t xml:space="preserve"> Atlantic region </w:t>
      </w:r>
      <w:r>
        <w:rPr>
          <w:rFonts w:ascii="Arial" w:hAnsi="Arial" w:cs="Arial"/>
          <w:b/>
          <w:sz w:val="20"/>
          <w:szCs w:val="20"/>
        </w:rPr>
        <w:t xml:space="preserve">      </w:t>
      </w:r>
      <w:r w:rsidRPr="00A119B9">
        <w:rPr>
          <w:rFonts w:ascii="Arial" w:hAnsi="Arial" w:cs="Arial"/>
          <w:b/>
          <w:sz w:val="20"/>
          <w:szCs w:val="20"/>
        </w:rPr>
        <w:t>(1.024.114 km2):</w:t>
      </w:r>
    </w:p>
    <w:tbl>
      <w:tblPr>
        <w:tblW w:w="8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4246"/>
        <w:gridCol w:w="1609"/>
        <w:gridCol w:w="1505"/>
      </w:tblGrid>
      <w:tr w:rsidR="007A4E9A" w:rsidRPr="00BB7D16">
        <w:tc>
          <w:tcPr>
            <w:tcW w:w="8609" w:type="dxa"/>
            <w:gridSpan w:val="4"/>
            <w:shd w:val="clear" w:color="auto" w:fill="92D050"/>
          </w:tcPr>
          <w:p w:rsidR="007A4E9A" w:rsidRDefault="007A4E9A" w:rsidP="00F274D9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E5B4D">
              <w:rPr>
                <w:rFonts w:ascii="Arial" w:hAnsi="Arial" w:cs="Arial"/>
                <w:b/>
                <w:sz w:val="20"/>
                <w:szCs w:val="20"/>
              </w:rPr>
              <w:t xml:space="preserve">Imperviousness </w:t>
            </w:r>
            <w:r w:rsidR="00F274D9">
              <w:rPr>
                <w:rFonts w:ascii="Arial" w:hAnsi="Arial" w:cs="Arial"/>
                <w:b/>
                <w:sz w:val="20"/>
                <w:szCs w:val="20"/>
              </w:rPr>
              <w:t>(20</w:t>
            </w: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F274D9">
              <w:rPr>
                <w:rFonts w:ascii="Arial" w:hAnsi="Arial" w:cs="Arial"/>
                <w:b/>
                <w:sz w:val="20"/>
                <w:szCs w:val="20"/>
              </w:rPr>
              <w:t xml:space="preserve"> x 20m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Pr="00AE5B4D">
              <w:rPr>
                <w:rFonts w:ascii="Arial" w:hAnsi="Arial" w:cs="Arial"/>
                <w:b/>
                <w:sz w:val="20"/>
                <w:szCs w:val="20"/>
              </w:rPr>
              <w:t xml:space="preserve">and forest </w:t>
            </w:r>
            <w:r w:rsidR="00F274D9">
              <w:rPr>
                <w:rFonts w:ascii="Arial" w:hAnsi="Arial" w:cs="Arial"/>
                <w:b/>
                <w:sz w:val="20"/>
                <w:szCs w:val="20"/>
              </w:rPr>
              <w:t>service element 1 (basis: 20</w:t>
            </w: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F274D9">
              <w:rPr>
                <w:rFonts w:ascii="Arial" w:hAnsi="Arial" w:cs="Arial"/>
                <w:b/>
                <w:sz w:val="20"/>
                <w:szCs w:val="20"/>
              </w:rPr>
              <w:t xml:space="preserve"> x 20m, national projections</w:t>
            </w: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)</w:t>
            </w:r>
          </w:p>
        </w:tc>
      </w:tr>
      <w:tr w:rsidR="007A4E9A" w:rsidRPr="00BB7D16">
        <w:tc>
          <w:tcPr>
            <w:tcW w:w="1249" w:type="dxa"/>
            <w:shd w:val="clear" w:color="auto" w:fill="auto"/>
          </w:tcPr>
          <w:p w:rsidR="007A4E9A" w:rsidRPr="00BB7D16" w:rsidRDefault="007A4E9A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vertAlign w:val="subscript"/>
                <w:lang w:val="fr-FR" w:eastAsia="en-GB"/>
              </w:rPr>
            </w:pPr>
            <w:r w:rsidRPr="00BB7D16"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  <w:t>Production Phase</w:t>
            </w:r>
          </w:p>
          <w:p w:rsidR="007A4E9A" w:rsidRPr="00BB7D16" w:rsidRDefault="007A4E9A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246" w:type="dxa"/>
            <w:shd w:val="clear" w:color="auto" w:fill="auto"/>
          </w:tcPr>
          <w:p w:rsidR="007A4E9A" w:rsidRPr="00976001" w:rsidRDefault="007A4E9A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</w:pPr>
            <w:r w:rsidRPr="00976001"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  <w:t>Services</w:t>
            </w:r>
          </w:p>
        </w:tc>
        <w:tc>
          <w:tcPr>
            <w:tcW w:w="1609" w:type="dxa"/>
          </w:tcPr>
          <w:p w:rsidR="007A4E9A" w:rsidRPr="00976001" w:rsidRDefault="007A4E9A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</w:pPr>
            <w:proofErr w:type="spellStart"/>
            <w:r w:rsidRPr="00DB0695"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  <w:t>Average</w:t>
            </w:r>
            <w:proofErr w:type="spellEnd"/>
            <w:r w:rsidRPr="00976001"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  <w:t xml:space="preserve"> </w:t>
            </w:r>
          </w:p>
          <w:p w:rsidR="007A4E9A" w:rsidRPr="00976001" w:rsidRDefault="007A4E9A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</w:pPr>
            <w:r w:rsidRPr="00976001"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  <w:t>Price (EUR)/</w:t>
            </w:r>
          </w:p>
          <w:p w:rsidR="007A4E9A" w:rsidRPr="00976001" w:rsidRDefault="007A4E9A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</w:pPr>
            <w:r w:rsidRPr="00976001"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  <w:t xml:space="preserve">100km2 </w:t>
            </w:r>
          </w:p>
        </w:tc>
        <w:tc>
          <w:tcPr>
            <w:tcW w:w="1505" w:type="dxa"/>
          </w:tcPr>
          <w:p w:rsidR="007A4E9A" w:rsidRPr="00BB7D16" w:rsidRDefault="007A4E9A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Evaluation Weighting Factor     (WF) (%)</w:t>
            </w:r>
          </w:p>
        </w:tc>
      </w:tr>
      <w:tr w:rsidR="007A4E9A" w:rsidRPr="00463872">
        <w:tc>
          <w:tcPr>
            <w:tcW w:w="1249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46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Biophysical variables</w:t>
            </w:r>
          </w:p>
        </w:tc>
        <w:tc>
          <w:tcPr>
            <w:tcW w:w="1609" w:type="dxa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05" w:type="dxa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10</w:t>
            </w:r>
          </w:p>
        </w:tc>
      </w:tr>
      <w:tr w:rsidR="007A4E9A" w:rsidRPr="00463872">
        <w:tc>
          <w:tcPr>
            <w:tcW w:w="1249" w:type="dxa"/>
            <w:shd w:val="clear" w:color="auto" w:fill="auto"/>
          </w:tcPr>
          <w:p w:rsidR="007A4E9A" w:rsidRPr="000759F5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</w:rPr>
            </w:pPr>
            <w:r w:rsidRPr="000759F5">
              <w:rPr>
                <w:rFonts w:ascii="Arial" w:hAnsi="Arial" w:cs="Arial"/>
                <w:sz w:val="20"/>
              </w:rPr>
              <w:t>2a</w:t>
            </w:r>
          </w:p>
        </w:tc>
        <w:tc>
          <w:tcPr>
            <w:tcW w:w="4246" w:type="dxa"/>
            <w:shd w:val="clear" w:color="auto" w:fill="auto"/>
          </w:tcPr>
          <w:p w:rsidR="007A4E9A" w:rsidRPr="000759F5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</w:rPr>
            </w:pPr>
            <w:r w:rsidRPr="000759F5">
              <w:rPr>
                <w:rFonts w:ascii="Arial" w:hAnsi="Arial" w:cs="Arial"/>
                <w:sz w:val="20"/>
              </w:rPr>
              <w:t>Production of the HRL imperviousness set of intermediate products</w:t>
            </w:r>
          </w:p>
        </w:tc>
        <w:tc>
          <w:tcPr>
            <w:tcW w:w="1609" w:type="dxa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05" w:type="dxa"/>
          </w:tcPr>
          <w:p w:rsidR="007A4E9A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15</w:t>
            </w:r>
          </w:p>
        </w:tc>
      </w:tr>
      <w:tr w:rsidR="007A4E9A" w:rsidRPr="00463872">
        <w:tc>
          <w:tcPr>
            <w:tcW w:w="1249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2b</w:t>
            </w:r>
          </w:p>
        </w:tc>
        <w:tc>
          <w:tcPr>
            <w:tcW w:w="4246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759F5">
              <w:rPr>
                <w:rFonts w:ascii="Arial" w:hAnsi="Arial" w:cs="Arial"/>
                <w:sz w:val="20"/>
              </w:rPr>
              <w:t>Production of the HRL forest set of intermediate products</w:t>
            </w:r>
          </w:p>
        </w:tc>
        <w:tc>
          <w:tcPr>
            <w:tcW w:w="1609" w:type="dxa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05" w:type="dxa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30</w:t>
            </w:r>
          </w:p>
        </w:tc>
      </w:tr>
      <w:tr w:rsidR="007A4E9A" w:rsidRPr="00463872">
        <w:tc>
          <w:tcPr>
            <w:tcW w:w="1249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>3</w:t>
            </w:r>
          </w:p>
        </w:tc>
        <w:tc>
          <w:tcPr>
            <w:tcW w:w="4246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Verification of each HRL set of intermediate products</w:t>
            </w:r>
          </w:p>
        </w:tc>
        <w:tc>
          <w:tcPr>
            <w:tcW w:w="1609" w:type="dxa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05" w:type="dxa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15</w:t>
            </w:r>
          </w:p>
        </w:tc>
      </w:tr>
      <w:tr w:rsidR="007A4E9A" w:rsidRPr="00463872">
        <w:tc>
          <w:tcPr>
            <w:tcW w:w="1249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>4</w:t>
            </w:r>
          </w:p>
        </w:tc>
        <w:tc>
          <w:tcPr>
            <w:tcW w:w="4246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Enhancement of each HRL set of products</w:t>
            </w:r>
          </w:p>
        </w:tc>
        <w:tc>
          <w:tcPr>
            <w:tcW w:w="1609" w:type="dxa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05" w:type="dxa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20</w:t>
            </w:r>
          </w:p>
        </w:tc>
      </w:tr>
      <w:tr w:rsidR="007A4E9A" w:rsidRPr="00463872">
        <w:tc>
          <w:tcPr>
            <w:tcW w:w="1249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>5</w:t>
            </w:r>
          </w:p>
        </w:tc>
        <w:tc>
          <w:tcPr>
            <w:tcW w:w="4246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aggregation and integration</w:t>
            </w:r>
          </w:p>
        </w:tc>
        <w:tc>
          <w:tcPr>
            <w:tcW w:w="1609" w:type="dxa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05" w:type="dxa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10</w:t>
            </w:r>
          </w:p>
        </w:tc>
      </w:tr>
      <w:tr w:rsidR="007A4E9A">
        <w:tc>
          <w:tcPr>
            <w:tcW w:w="8609" w:type="dxa"/>
            <w:gridSpan w:val="4"/>
            <w:shd w:val="clear" w:color="auto" w:fill="92D050"/>
          </w:tcPr>
          <w:p w:rsidR="007A4E9A" w:rsidRDefault="00F274D9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7A4E9A" w:rsidRPr="00AE5B4D">
              <w:rPr>
                <w:rFonts w:ascii="Arial" w:hAnsi="Arial" w:cs="Arial"/>
                <w:b/>
                <w:sz w:val="20"/>
                <w:szCs w:val="20"/>
              </w:rPr>
              <w:t xml:space="preserve">orest </w:t>
            </w:r>
            <w:r>
              <w:rPr>
                <w:rFonts w:ascii="Arial" w:hAnsi="Arial" w:cs="Arial"/>
                <w:b/>
                <w:sz w:val="20"/>
                <w:szCs w:val="20"/>
              </w:rPr>
              <w:t>service element 2 (basis: 25</w:t>
            </w:r>
            <w:r w:rsidR="007A4E9A">
              <w:rPr>
                <w:rFonts w:ascii="Arial" w:hAnsi="Arial" w:cs="Arial"/>
                <w:b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x 25m, European projection</w:t>
            </w:r>
            <w:r w:rsidR="007A4E9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)</w:t>
            </w:r>
          </w:p>
        </w:tc>
      </w:tr>
      <w:tr w:rsidR="007A4E9A" w:rsidRPr="00BB7D16">
        <w:tc>
          <w:tcPr>
            <w:tcW w:w="1249" w:type="dxa"/>
            <w:shd w:val="clear" w:color="auto" w:fill="auto"/>
          </w:tcPr>
          <w:p w:rsidR="007A4E9A" w:rsidRPr="00BB7D16" w:rsidRDefault="007A4E9A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vertAlign w:val="subscript"/>
                <w:lang w:val="fr-FR" w:eastAsia="en-GB"/>
              </w:rPr>
            </w:pPr>
            <w:r w:rsidRPr="00BB7D16"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  <w:t>Production Phase</w:t>
            </w:r>
          </w:p>
          <w:p w:rsidR="007A4E9A" w:rsidRPr="00BB7D16" w:rsidRDefault="007A4E9A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246" w:type="dxa"/>
            <w:shd w:val="clear" w:color="auto" w:fill="auto"/>
          </w:tcPr>
          <w:p w:rsidR="007A4E9A" w:rsidRPr="00976001" w:rsidRDefault="007A4E9A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</w:pPr>
            <w:r w:rsidRPr="00976001"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  <w:t>Services</w:t>
            </w:r>
          </w:p>
        </w:tc>
        <w:tc>
          <w:tcPr>
            <w:tcW w:w="1609" w:type="dxa"/>
          </w:tcPr>
          <w:p w:rsidR="007A4E9A" w:rsidRPr="00976001" w:rsidRDefault="007A4E9A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</w:pPr>
            <w:proofErr w:type="spellStart"/>
            <w:r w:rsidRPr="00DB0695"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  <w:t>Average</w:t>
            </w:r>
            <w:proofErr w:type="spellEnd"/>
            <w:r w:rsidRPr="00976001"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  <w:t xml:space="preserve"> </w:t>
            </w:r>
          </w:p>
          <w:p w:rsidR="007A4E9A" w:rsidRPr="00976001" w:rsidRDefault="007A4E9A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</w:pPr>
            <w:r w:rsidRPr="00976001"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  <w:t>Price (EUR)/</w:t>
            </w:r>
          </w:p>
          <w:p w:rsidR="007A4E9A" w:rsidRPr="00976001" w:rsidRDefault="007A4E9A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</w:pPr>
            <w:r w:rsidRPr="00976001"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  <w:t xml:space="preserve">100km2 </w:t>
            </w:r>
          </w:p>
        </w:tc>
        <w:tc>
          <w:tcPr>
            <w:tcW w:w="1505" w:type="dxa"/>
          </w:tcPr>
          <w:p w:rsidR="007A4E9A" w:rsidRPr="00BB7D16" w:rsidRDefault="007A4E9A" w:rsidP="000D6A9D">
            <w:pPr>
              <w:spacing w:before="120" w:after="120"/>
              <w:ind w:right="-23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Evaluation Weighting Factor     (WF) (%)</w:t>
            </w:r>
          </w:p>
        </w:tc>
      </w:tr>
      <w:tr w:rsidR="007A4E9A" w:rsidRPr="00463872">
        <w:tc>
          <w:tcPr>
            <w:tcW w:w="1249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46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Biophysical variables</w:t>
            </w:r>
          </w:p>
        </w:tc>
        <w:tc>
          <w:tcPr>
            <w:tcW w:w="1609" w:type="dxa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05" w:type="dxa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10</w:t>
            </w:r>
          </w:p>
        </w:tc>
      </w:tr>
      <w:tr w:rsidR="007A4E9A" w:rsidRPr="00463872">
        <w:tc>
          <w:tcPr>
            <w:tcW w:w="1249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2b</w:t>
            </w:r>
          </w:p>
        </w:tc>
        <w:tc>
          <w:tcPr>
            <w:tcW w:w="4246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759F5">
              <w:rPr>
                <w:rFonts w:ascii="Arial" w:hAnsi="Arial" w:cs="Arial"/>
                <w:sz w:val="20"/>
              </w:rPr>
              <w:t>Production of the HRL forest set of intermediate products</w:t>
            </w:r>
          </w:p>
        </w:tc>
        <w:tc>
          <w:tcPr>
            <w:tcW w:w="1609" w:type="dxa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05" w:type="dxa"/>
          </w:tcPr>
          <w:p w:rsidR="007A4E9A" w:rsidRPr="00463872" w:rsidRDefault="008459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45</w:t>
            </w:r>
          </w:p>
        </w:tc>
      </w:tr>
      <w:tr w:rsidR="007A4E9A" w:rsidRPr="00463872">
        <w:tc>
          <w:tcPr>
            <w:tcW w:w="1249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>3</w:t>
            </w:r>
          </w:p>
        </w:tc>
        <w:tc>
          <w:tcPr>
            <w:tcW w:w="4246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Verification of each HRL set of intermediate products</w:t>
            </w:r>
          </w:p>
        </w:tc>
        <w:tc>
          <w:tcPr>
            <w:tcW w:w="1609" w:type="dxa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05" w:type="dxa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15</w:t>
            </w:r>
          </w:p>
        </w:tc>
      </w:tr>
      <w:tr w:rsidR="007A4E9A" w:rsidRPr="00463872">
        <w:tc>
          <w:tcPr>
            <w:tcW w:w="1249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>4</w:t>
            </w:r>
          </w:p>
        </w:tc>
        <w:tc>
          <w:tcPr>
            <w:tcW w:w="4246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Enhancement of each HRL set of products</w:t>
            </w:r>
          </w:p>
        </w:tc>
        <w:tc>
          <w:tcPr>
            <w:tcW w:w="1609" w:type="dxa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05" w:type="dxa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20</w:t>
            </w:r>
          </w:p>
        </w:tc>
      </w:tr>
      <w:tr w:rsidR="007A4E9A" w:rsidRPr="00463872">
        <w:tc>
          <w:tcPr>
            <w:tcW w:w="1249" w:type="dxa"/>
            <w:shd w:val="clear" w:color="auto" w:fill="auto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>5</w:t>
            </w:r>
          </w:p>
        </w:tc>
        <w:tc>
          <w:tcPr>
            <w:tcW w:w="4246" w:type="dxa"/>
            <w:shd w:val="clear" w:color="auto" w:fill="auto"/>
          </w:tcPr>
          <w:p w:rsidR="007A4E9A" w:rsidRPr="00463872" w:rsidRDefault="00BE17A6" w:rsidP="000D6A9D">
            <w:pPr>
              <w:spacing w:before="120" w:after="120"/>
              <w:ind w:right="-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integration</w:t>
            </w:r>
          </w:p>
        </w:tc>
        <w:tc>
          <w:tcPr>
            <w:tcW w:w="1609" w:type="dxa"/>
          </w:tcPr>
          <w:p w:rsidR="007A4E9A" w:rsidRPr="00463872" w:rsidRDefault="007A4E9A" w:rsidP="000D6A9D">
            <w:pPr>
              <w:spacing w:before="120" w:after="120"/>
              <w:ind w:right="-23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05" w:type="dxa"/>
          </w:tcPr>
          <w:p w:rsidR="007A4E9A" w:rsidRPr="00463872" w:rsidRDefault="007A4E9A" w:rsidP="000D6A9D">
            <w:pPr>
              <w:spacing w:before="120" w:after="120"/>
              <w:ind w:right="-23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10</w:t>
            </w:r>
          </w:p>
        </w:tc>
      </w:tr>
    </w:tbl>
    <w:p w:rsidR="00726CA3" w:rsidRDefault="00726CA3" w:rsidP="00D96342">
      <w:pPr>
        <w:spacing w:before="120" w:after="120"/>
      </w:pPr>
    </w:p>
    <w:sectPr w:rsidR="00726CA3" w:rsidSect="00FC0A1A">
      <w:headerReference w:type="default" r:id="rId8"/>
      <w:footerReference w:type="default" r:id="rId9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A1A" w:rsidRDefault="001E792F">
      <w:r>
        <w:separator/>
      </w:r>
    </w:p>
  </w:endnote>
  <w:endnote w:type="continuationSeparator" w:id="0">
    <w:p w:rsidR="00FC0A1A" w:rsidRDefault="001E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342" w:rsidRDefault="00D96342" w:rsidP="00D96342">
    <w:pPr>
      <w:spacing w:before="120" w:after="120"/>
      <w:jc w:val="center"/>
    </w:pPr>
    <w:r w:rsidRPr="000B04B9">
      <w:rPr>
        <w:rFonts w:ascii="Arial" w:hAnsi="Arial" w:cs="Arial"/>
        <w:b/>
        <w:bCs/>
        <w:i/>
        <w:iCs/>
        <w:sz w:val="20"/>
        <w:szCs w:val="20"/>
        <w:lang w:eastAsia="en-GB"/>
      </w:rPr>
      <w:t>All fields are compulsory, non-compliance lead</w:t>
    </w:r>
    <w:r>
      <w:rPr>
        <w:rFonts w:ascii="Arial" w:hAnsi="Arial" w:cs="Arial"/>
        <w:b/>
        <w:bCs/>
        <w:i/>
        <w:iCs/>
        <w:sz w:val="20"/>
        <w:szCs w:val="20"/>
        <w:lang w:eastAsia="en-GB"/>
      </w:rPr>
      <w:t>s</w:t>
    </w:r>
    <w:r w:rsidRPr="000B04B9">
      <w:rPr>
        <w:rFonts w:ascii="Arial" w:hAnsi="Arial" w:cs="Arial"/>
        <w:b/>
        <w:bCs/>
        <w:i/>
        <w:iCs/>
        <w:sz w:val="20"/>
        <w:szCs w:val="20"/>
        <w:lang w:eastAsia="en-GB"/>
      </w:rPr>
      <w:t xml:space="preserve"> to exclusion</w:t>
    </w:r>
    <w:r w:rsidRPr="000B04B9">
      <w:rPr>
        <w:rFonts w:ascii="Arial" w:hAnsi="Arial" w:cs="Arial"/>
        <w:bCs/>
        <w:iCs/>
        <w:sz w:val="20"/>
        <w:szCs w:val="20"/>
        <w:lang w:eastAsia="en-GB"/>
      </w:rPr>
      <w:t>.</w:t>
    </w:r>
  </w:p>
  <w:p w:rsidR="00D96342" w:rsidRDefault="00D963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A1A" w:rsidRDefault="001E792F">
      <w:r>
        <w:separator/>
      </w:r>
    </w:p>
  </w:footnote>
  <w:footnote w:type="continuationSeparator" w:id="0">
    <w:p w:rsidR="00FC0A1A" w:rsidRDefault="001E7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99" w:type="dxa"/>
      <w:tblInd w:w="-535" w:type="dxa"/>
      <w:tblLook w:val="01E0" w:firstRow="1" w:lastRow="1" w:firstColumn="1" w:lastColumn="1" w:noHBand="0" w:noVBand="0"/>
    </w:tblPr>
    <w:tblGrid>
      <w:gridCol w:w="9340"/>
      <w:gridCol w:w="222"/>
    </w:tblGrid>
    <w:tr w:rsidR="006B0BEA">
      <w:tc>
        <w:tcPr>
          <w:tcW w:w="4440" w:type="dxa"/>
          <w:shd w:val="clear" w:color="auto" w:fill="auto"/>
        </w:tcPr>
        <w:tbl>
          <w:tblPr>
            <w:tblW w:w="9124" w:type="dxa"/>
            <w:tblLook w:val="01E0" w:firstRow="1" w:lastRow="1" w:firstColumn="1" w:lastColumn="1" w:noHBand="0" w:noVBand="0"/>
          </w:tblPr>
          <w:tblGrid>
            <w:gridCol w:w="4571"/>
            <w:gridCol w:w="4553"/>
          </w:tblGrid>
          <w:tr w:rsidR="00D96342" w:rsidTr="004076BD">
            <w:tc>
              <w:tcPr>
                <w:tcW w:w="4571" w:type="dxa"/>
                <w:shd w:val="clear" w:color="auto" w:fill="auto"/>
              </w:tcPr>
              <w:p w:rsidR="00D96342" w:rsidRDefault="00D96342" w:rsidP="004076BD">
                <w:pPr>
                  <w:pStyle w:val="Header"/>
                  <w:spacing w:before="240"/>
                  <w:ind w:left="187"/>
                  <w:rPr>
                    <w:noProof/>
                  </w:rPr>
                </w:pPr>
                <w:r>
                  <w:rPr>
                    <w:noProof/>
                    <w:lang w:eastAsia="en-GB"/>
                  </w:rPr>
                  <w:drawing>
                    <wp:inline distT="0" distB="0" distL="0" distR="0">
                      <wp:extent cx="962025" cy="466725"/>
                      <wp:effectExtent l="0" t="0" r="9525" b="9525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Afbeelding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690E07">
                  <w:t xml:space="preserve">              </w:t>
                </w:r>
                <w:r w:rsidR="00AA763B">
                  <w:t xml:space="preserve"> </w:t>
                </w:r>
                <w:r w:rsidR="00AA763B">
                  <w:rPr>
                    <w:noProof/>
                    <w:lang w:eastAsia="en-GB"/>
                  </w:rPr>
                  <w:drawing>
                    <wp:inline distT="0" distB="0" distL="0" distR="0">
                      <wp:extent cx="754380" cy="502920"/>
                      <wp:effectExtent l="0" t="0" r="7620" b="0"/>
                      <wp:docPr id="1" name="Picture 1" descr="C:\Documents and Settings\serena\Local Settings\Temporary Internet Files\Content.Word\158px-Flag_of_Europe_svg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Documents and Settings\serena\Local Settings\Temporary Internet Files\Content.Word\158px-Flag_of_Europe_svg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43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D96342" w:rsidRPr="00E84EA9" w:rsidRDefault="00D96342" w:rsidP="004076BD">
                <w:pPr>
                  <w:pStyle w:val="Header"/>
                  <w:spacing w:before="240"/>
                  <w:ind w:left="187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E84EA9">
                  <w:rPr>
                    <w:rFonts w:ascii="Arial" w:hAnsi="Arial" w:cs="Arial"/>
                    <w:b/>
                    <w:sz w:val="20"/>
                    <w:szCs w:val="20"/>
                  </w:rPr>
                  <w:t>Open call No. EEA/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SES</w:t>
                </w:r>
                <w:r w:rsidRPr="00E84EA9">
                  <w:rPr>
                    <w:rFonts w:ascii="Arial" w:hAnsi="Arial" w:cs="Arial"/>
                    <w:b/>
                    <w:sz w:val="20"/>
                    <w:szCs w:val="20"/>
                  </w:rPr>
                  <w:t>/11/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004</w:t>
                </w:r>
              </w:p>
            </w:tc>
            <w:tc>
              <w:tcPr>
                <w:tcW w:w="4553" w:type="dxa"/>
                <w:shd w:val="clear" w:color="auto" w:fill="auto"/>
              </w:tcPr>
              <w:p w:rsidR="00D96342" w:rsidRDefault="00D96342" w:rsidP="004076BD">
                <w:pPr>
                  <w:pStyle w:val="Header"/>
                  <w:ind w:left="187"/>
                </w:pPr>
                <w:r w:rsidRPr="00E84EA9">
                  <w:rPr>
                    <w:rFonts w:ascii="Arial" w:hAnsi="Arial" w:cs="Arial"/>
                    <w:b/>
                    <w:bCs/>
                    <w:kern w:val="32"/>
                    <w:sz w:val="32"/>
                    <w:szCs w:val="32"/>
                  </w:rPr>
                  <w:t xml:space="preserve">      </w:t>
                </w:r>
                <w:r>
                  <w:rPr>
                    <w:rFonts w:ascii="Arial" w:hAnsi="Arial" w:cs="Arial"/>
                    <w:b/>
                    <w:bCs/>
                    <w:noProof/>
                    <w:kern w:val="32"/>
                    <w:sz w:val="32"/>
                    <w:szCs w:val="32"/>
                    <w:lang w:eastAsia="en-GB"/>
                  </w:rPr>
                  <w:drawing>
                    <wp:inline distT="0" distB="0" distL="0" distR="0">
                      <wp:extent cx="2295525" cy="476250"/>
                      <wp:effectExtent l="0" t="0" r="9525" b="0"/>
                      <wp:docPr id="2" name="Picture 2" descr="01u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01uk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95525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D96342" w:rsidRPr="00463872" w:rsidRDefault="00D96342" w:rsidP="00BB7D16">
          <w:pPr>
            <w:pStyle w:val="Header"/>
            <w:spacing w:before="28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959" w:type="dxa"/>
          <w:shd w:val="clear" w:color="auto" w:fill="auto"/>
        </w:tcPr>
        <w:p w:rsidR="006B0BEA" w:rsidRDefault="00690E07" w:rsidP="00141AB7">
          <w:pPr>
            <w:pStyle w:val="Header"/>
          </w:pPr>
        </w:p>
      </w:tc>
    </w:tr>
  </w:tbl>
  <w:p w:rsidR="006B0BEA" w:rsidRDefault="00690E07" w:rsidP="00141AB7">
    <w:pPr>
      <w:pStyle w:val="Header"/>
      <w:tabs>
        <w:tab w:val="clear" w:pos="8306"/>
        <w:tab w:val="right" w:pos="9000"/>
      </w:tabs>
      <w:ind w:right="-69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29F1"/>
    <w:multiLevelType w:val="hybridMultilevel"/>
    <w:tmpl w:val="9FD8A7AA"/>
    <w:lvl w:ilvl="0" w:tplc="F21C9DEC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7FA"/>
    <w:rsid w:val="000F3254"/>
    <w:rsid w:val="001E792F"/>
    <w:rsid w:val="002C47FA"/>
    <w:rsid w:val="0068714C"/>
    <w:rsid w:val="00690E07"/>
    <w:rsid w:val="00726CA3"/>
    <w:rsid w:val="00763F30"/>
    <w:rsid w:val="007A4E9A"/>
    <w:rsid w:val="0084599A"/>
    <w:rsid w:val="00917759"/>
    <w:rsid w:val="00A119B9"/>
    <w:rsid w:val="00A47DDE"/>
    <w:rsid w:val="00AA763B"/>
    <w:rsid w:val="00BE17A6"/>
    <w:rsid w:val="00CD42C3"/>
    <w:rsid w:val="00D96342"/>
    <w:rsid w:val="00F274D9"/>
    <w:rsid w:val="00FC0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C47FA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47FA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DefaultParagraphFont"/>
    <w:uiPriority w:val="99"/>
    <w:semiHidden/>
    <w:rsid w:val="00632E00"/>
    <w:rPr>
      <w:rFonts w:ascii="Lucida Grande" w:hAnsi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2C47FA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rsid w:val="002C47F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C47FA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7FA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A4E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E9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79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C47FA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47FA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DefaultParagraphFont"/>
    <w:uiPriority w:val="99"/>
    <w:semiHidden/>
    <w:rsid w:val="00632E00"/>
    <w:rPr>
      <w:rFonts w:ascii="Lucida Grande" w:hAnsi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2C47FA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rsid w:val="002C47F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C47FA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7FA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A4E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E9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7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Environment Agency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2011-08-03T12:15:00Z</cp:lastPrinted>
  <dcterms:created xsi:type="dcterms:W3CDTF">2011-08-01T08:44:00Z</dcterms:created>
  <dcterms:modified xsi:type="dcterms:W3CDTF">2011-08-03T12:15:00Z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1072167989</vt:i4>
  </property>
  <property fmtid="{D5CDD505-2E9C-101B-9397-08002B2CF9AE}" pid="3" name="_NewReviewCycle">
    <vt:lpwstr/>
  </property>
  <property fmtid="{D5CDD505-2E9C-101B-9397-08002B2CF9AE}" pid="4" name="_EmailSubject">
    <vt:lpwstr>EEA/SES/11/004 Framework service contract(s) for the provision of GMES Initial Operations 2011-2013 Land Monitoring Services: High Resolution land cover characteristics of 5 mail land cover types (6 lots) - all documents except TS</vt:lpwstr>
  </property>
  <property fmtid="{D5CDD505-2E9C-101B-9397-08002B2CF9AE}" pid="5" name="_AuthorEmail">
    <vt:lpwstr>Bitten.Serena@eea.europa.eu</vt:lpwstr>
  </property>
  <property fmtid="{D5CDD505-2E9C-101B-9397-08002B2CF9AE}" pid="6" name="_AuthorEmailDisplayName">
    <vt:lpwstr>Bitten Serena</vt:lpwstr>
  </property>
  <property fmtid="{D5CDD505-2E9C-101B-9397-08002B2CF9AE}" pid="7" name="_ReviewingToolsShownOnce">
    <vt:lpwstr/>
  </property>
</Properties>
</file>